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9474A3" w14:textId="0728D7AF" w:rsidR="00FB270D" w:rsidRPr="004768AC" w:rsidRDefault="00FB270D" w:rsidP="000C66B5">
      <w:pPr>
        <w:jc w:val="center"/>
        <w:rPr>
          <w:rFonts w:ascii="Times New Roman" w:hAnsi="Times New Roman" w:cs="Times New Roman"/>
          <w:b/>
          <w:bCs/>
        </w:rPr>
      </w:pPr>
      <w:r w:rsidRPr="004768AC">
        <w:rPr>
          <w:rFonts w:ascii="Times New Roman" w:hAnsi="Times New Roman" w:cs="Times New Roman"/>
          <w:b/>
          <w:bCs/>
        </w:rPr>
        <w:t xml:space="preserve">UPUTSTVO ZA </w:t>
      </w:r>
      <w:r w:rsidR="00836620" w:rsidRPr="004768AC">
        <w:rPr>
          <w:rFonts w:ascii="Times New Roman" w:hAnsi="Times New Roman" w:cs="Times New Roman"/>
          <w:b/>
          <w:bCs/>
        </w:rPr>
        <w:t>PODNOSIOCA PRIJAVA NA JAVNI POZIV</w:t>
      </w:r>
    </w:p>
    <w:p w14:paraId="6B94FCCD" w14:textId="77777777" w:rsidR="000C66B5" w:rsidRPr="004768AC" w:rsidRDefault="000C66B5" w:rsidP="000C66B5">
      <w:pPr>
        <w:jc w:val="center"/>
        <w:rPr>
          <w:rFonts w:ascii="Times New Roman" w:hAnsi="Times New Roman" w:cs="Times New Roman"/>
          <w:b/>
          <w:bCs/>
        </w:rPr>
      </w:pPr>
    </w:p>
    <w:p w14:paraId="034B546E" w14:textId="77777777" w:rsidR="00FB270D" w:rsidRPr="004768AC" w:rsidRDefault="00FB270D" w:rsidP="000912A1">
      <w:pPr>
        <w:jc w:val="both"/>
        <w:rPr>
          <w:rFonts w:ascii="Times New Roman" w:hAnsi="Times New Roman" w:cs="Times New Roman"/>
        </w:rPr>
      </w:pPr>
      <w:r w:rsidRPr="004768AC">
        <w:rPr>
          <w:rFonts w:ascii="Times New Roman" w:hAnsi="Times New Roman" w:cs="Times New Roman"/>
        </w:rPr>
        <w:t>za dodjelu sredstava za sufinansiranje mjera energetske efikasnosti na objektima kolektivnog stanovanja na području Grada Zenice</w:t>
      </w:r>
    </w:p>
    <w:p w14:paraId="287605E4" w14:textId="56213B59" w:rsidR="00FB270D" w:rsidRPr="004768AC" w:rsidRDefault="00FB270D" w:rsidP="000912A1">
      <w:pPr>
        <w:jc w:val="both"/>
        <w:rPr>
          <w:rFonts w:ascii="Times New Roman" w:hAnsi="Times New Roman" w:cs="Times New Roman"/>
          <w:b/>
          <w:bCs/>
        </w:rPr>
      </w:pPr>
      <w:r w:rsidRPr="004768AC">
        <w:rPr>
          <w:rFonts w:ascii="Times New Roman" w:hAnsi="Times New Roman" w:cs="Times New Roman"/>
          <w:b/>
          <w:bCs/>
        </w:rPr>
        <w:t>1. Opis problema</w:t>
      </w:r>
    </w:p>
    <w:p w14:paraId="4D7B5C37" w14:textId="2AA824BC" w:rsidR="00FB270D" w:rsidRPr="004768AC" w:rsidRDefault="00FB270D" w:rsidP="000912A1">
      <w:pPr>
        <w:jc w:val="both"/>
        <w:rPr>
          <w:rFonts w:ascii="Times New Roman" w:hAnsi="Times New Roman" w:cs="Times New Roman"/>
        </w:rPr>
      </w:pPr>
      <w:r w:rsidRPr="004768AC">
        <w:rPr>
          <w:rFonts w:ascii="Times New Roman" w:hAnsi="Times New Roman" w:cs="Times New Roman"/>
        </w:rPr>
        <w:t>Na području Grada Zenice evidentna je visoka potrošnja energije u objektima kolektivnog stanovanja, uzrokovana nedovoljnom termoizolacijom, dotrajalom stolarijom i neadekvatnim stanjem krovnih konstrukcija. Ovakvo stanje dovodi do povećanih troškova grijanja, smanjenog komfora stanovanja i negativnog utjecaja na okoliš.</w:t>
      </w:r>
    </w:p>
    <w:p w14:paraId="108D8F36" w14:textId="77777777" w:rsidR="00FB270D" w:rsidRPr="004768AC" w:rsidRDefault="00FB270D" w:rsidP="000912A1">
      <w:pPr>
        <w:jc w:val="both"/>
        <w:rPr>
          <w:rFonts w:ascii="Times New Roman" w:hAnsi="Times New Roman" w:cs="Times New Roman"/>
          <w:b/>
          <w:bCs/>
        </w:rPr>
      </w:pPr>
      <w:r w:rsidRPr="004768AC">
        <w:rPr>
          <w:rFonts w:ascii="Times New Roman" w:hAnsi="Times New Roman" w:cs="Times New Roman"/>
          <w:b/>
          <w:bCs/>
        </w:rPr>
        <w:t>2. Ciljevi Programa</w:t>
      </w:r>
    </w:p>
    <w:p w14:paraId="61225E50" w14:textId="77777777" w:rsidR="00AF597F" w:rsidRPr="004768AC" w:rsidRDefault="00AF597F" w:rsidP="000912A1">
      <w:pPr>
        <w:jc w:val="both"/>
        <w:rPr>
          <w:rFonts w:ascii="Times New Roman" w:hAnsi="Times New Roman" w:cs="Times New Roman"/>
        </w:rPr>
      </w:pPr>
      <w:r w:rsidRPr="004768AC">
        <w:rPr>
          <w:rFonts w:ascii="Times New Roman" w:hAnsi="Times New Roman" w:cs="Times New Roman"/>
        </w:rPr>
        <w:t xml:space="preserve">Cilj Javnog poziva je pružanje sistemske pomoći građanima u poboljšanju energetske efikasnosti stambenih zgrada, što će doprinijeti ljepšem izgledu grada, manjoj potrošnji energenata, kao i manjoj emisiji štetnih plinova i poboljšanju kvaliteta zraka. Pored navedenog, cilj je i uklanjanje opasnog azbestnog otpada, te propisno zbrinjavanje istog. </w:t>
      </w:r>
    </w:p>
    <w:p w14:paraId="23FE6ADA" w14:textId="7F07966A" w:rsidR="00FB270D" w:rsidRPr="004768AC" w:rsidRDefault="00FB270D" w:rsidP="000912A1">
      <w:pPr>
        <w:jc w:val="both"/>
        <w:rPr>
          <w:rFonts w:ascii="Times New Roman" w:hAnsi="Times New Roman" w:cs="Times New Roman"/>
          <w:b/>
          <w:bCs/>
        </w:rPr>
      </w:pPr>
      <w:r w:rsidRPr="004768AC">
        <w:rPr>
          <w:rFonts w:ascii="Times New Roman" w:hAnsi="Times New Roman" w:cs="Times New Roman"/>
          <w:b/>
          <w:bCs/>
        </w:rPr>
        <w:t>3. Vrijednost Programa i finansijski okvir</w:t>
      </w:r>
    </w:p>
    <w:p w14:paraId="5E6AE0F0" w14:textId="169D760A" w:rsidR="00FB270D" w:rsidRPr="004768AC" w:rsidRDefault="00AF597F" w:rsidP="000912A1">
      <w:pPr>
        <w:jc w:val="both"/>
        <w:rPr>
          <w:rFonts w:ascii="Times New Roman" w:hAnsi="Times New Roman" w:cs="Times New Roman"/>
        </w:rPr>
      </w:pPr>
      <w:r w:rsidRPr="004768AC">
        <w:rPr>
          <w:rFonts w:ascii="Times New Roman" w:hAnsi="Times New Roman" w:cs="Times New Roman"/>
        </w:rPr>
        <w:t>Raspoloživi budžet:</w:t>
      </w:r>
      <w:r w:rsidR="000912A1" w:rsidRPr="004768AC">
        <w:rPr>
          <w:rFonts w:ascii="Times New Roman" w:hAnsi="Times New Roman" w:cs="Times New Roman"/>
        </w:rPr>
        <w:t xml:space="preserve"> 580.000,00 </w:t>
      </w:r>
      <w:r w:rsidRPr="004768AC">
        <w:rPr>
          <w:rFonts w:ascii="Times New Roman" w:hAnsi="Times New Roman" w:cs="Times New Roman"/>
        </w:rPr>
        <w:t>KM</w:t>
      </w:r>
    </w:p>
    <w:p w14:paraId="45C79036" w14:textId="59A11DB1" w:rsidR="00AF597F" w:rsidRPr="004768AC" w:rsidRDefault="00AF597F" w:rsidP="000912A1">
      <w:pPr>
        <w:jc w:val="both"/>
        <w:rPr>
          <w:rFonts w:ascii="Times New Roman" w:hAnsi="Times New Roman" w:cs="Times New Roman"/>
        </w:rPr>
      </w:pPr>
      <w:r w:rsidRPr="004768AC">
        <w:rPr>
          <w:rFonts w:ascii="Times New Roman" w:hAnsi="Times New Roman" w:cs="Times New Roman"/>
        </w:rPr>
        <w:t>Maksimalni iznos sredstava koja se mogu dodijeliti po LOT</w:t>
      </w:r>
      <w:r w:rsidR="00F83923" w:rsidRPr="004768AC">
        <w:rPr>
          <w:rFonts w:ascii="Times New Roman" w:hAnsi="Times New Roman" w:cs="Times New Roman"/>
        </w:rPr>
        <w:t>-</w:t>
      </w:r>
      <w:r w:rsidR="00432039" w:rsidRPr="004768AC">
        <w:rPr>
          <w:rFonts w:ascii="Times New Roman" w:hAnsi="Times New Roman" w:cs="Times New Roman"/>
        </w:rPr>
        <w:t>u</w:t>
      </w:r>
      <w:r w:rsidRPr="004768AC">
        <w:rPr>
          <w:rFonts w:ascii="Times New Roman" w:hAnsi="Times New Roman" w:cs="Times New Roman"/>
        </w:rPr>
        <w:t>:</w:t>
      </w:r>
    </w:p>
    <w:p w14:paraId="16326476" w14:textId="1AEA74AD" w:rsidR="00AF597F" w:rsidRPr="004768AC" w:rsidRDefault="00AF597F" w:rsidP="000912A1">
      <w:pPr>
        <w:pStyle w:val="ListParagraph"/>
        <w:numPr>
          <w:ilvl w:val="0"/>
          <w:numId w:val="1"/>
        </w:numPr>
        <w:jc w:val="both"/>
        <w:rPr>
          <w:rFonts w:ascii="Times New Roman" w:hAnsi="Times New Roman" w:cs="Times New Roman"/>
        </w:rPr>
      </w:pPr>
      <w:r w:rsidRPr="004768AC">
        <w:rPr>
          <w:rFonts w:ascii="Times New Roman" w:hAnsi="Times New Roman" w:cs="Times New Roman"/>
        </w:rPr>
        <w:t>LOT1</w:t>
      </w:r>
      <w:r w:rsidR="000912A1" w:rsidRPr="004768AC">
        <w:rPr>
          <w:rFonts w:ascii="Times New Roman" w:hAnsi="Times New Roman" w:cs="Times New Roman"/>
        </w:rPr>
        <w:t>:</w:t>
      </w:r>
      <w:r w:rsidR="004768AC" w:rsidRPr="004768AC">
        <w:rPr>
          <w:rFonts w:ascii="Times New Roman" w:hAnsi="Times New Roman" w:cs="Times New Roman"/>
        </w:rPr>
        <w:t xml:space="preserve"> ne više od</w:t>
      </w:r>
      <w:r w:rsidR="000912A1" w:rsidRPr="004768AC">
        <w:rPr>
          <w:rFonts w:ascii="Times New Roman" w:hAnsi="Times New Roman" w:cs="Times New Roman"/>
        </w:rPr>
        <w:t xml:space="preserve"> </w:t>
      </w:r>
      <w:r w:rsidR="000C66B5" w:rsidRPr="004768AC">
        <w:rPr>
          <w:rFonts w:ascii="Times New Roman" w:hAnsi="Times New Roman" w:cs="Times New Roman"/>
        </w:rPr>
        <w:t>20</w:t>
      </w:r>
      <w:r w:rsidR="000912A1" w:rsidRPr="004768AC">
        <w:rPr>
          <w:rFonts w:ascii="Times New Roman" w:hAnsi="Times New Roman" w:cs="Times New Roman"/>
        </w:rPr>
        <w:t>0.000,00 KM</w:t>
      </w:r>
    </w:p>
    <w:p w14:paraId="65478EEE" w14:textId="642DC8ED" w:rsidR="00AF597F" w:rsidRPr="004768AC" w:rsidRDefault="00AF597F" w:rsidP="000912A1">
      <w:pPr>
        <w:pStyle w:val="ListParagraph"/>
        <w:numPr>
          <w:ilvl w:val="0"/>
          <w:numId w:val="1"/>
        </w:numPr>
        <w:jc w:val="both"/>
        <w:rPr>
          <w:rFonts w:ascii="Times New Roman" w:hAnsi="Times New Roman" w:cs="Times New Roman"/>
        </w:rPr>
      </w:pPr>
      <w:r w:rsidRPr="004768AC">
        <w:rPr>
          <w:rFonts w:ascii="Times New Roman" w:hAnsi="Times New Roman" w:cs="Times New Roman"/>
        </w:rPr>
        <w:t>LOT 2</w:t>
      </w:r>
      <w:r w:rsidR="000912A1" w:rsidRPr="004768AC">
        <w:rPr>
          <w:rFonts w:ascii="Times New Roman" w:hAnsi="Times New Roman" w:cs="Times New Roman"/>
        </w:rPr>
        <w:t xml:space="preserve">: </w:t>
      </w:r>
      <w:r w:rsidR="004768AC" w:rsidRPr="004768AC">
        <w:rPr>
          <w:rFonts w:ascii="Times New Roman" w:hAnsi="Times New Roman" w:cs="Times New Roman"/>
        </w:rPr>
        <w:t>ne više od</w:t>
      </w:r>
      <w:r w:rsidR="004768AC" w:rsidRPr="004768AC">
        <w:rPr>
          <w:rFonts w:ascii="Times New Roman" w:hAnsi="Times New Roman" w:cs="Times New Roman"/>
        </w:rPr>
        <w:t xml:space="preserve"> </w:t>
      </w:r>
      <w:r w:rsidR="000912A1" w:rsidRPr="004768AC">
        <w:rPr>
          <w:rFonts w:ascii="Times New Roman" w:hAnsi="Times New Roman" w:cs="Times New Roman"/>
        </w:rPr>
        <w:t>30.000,00 KM</w:t>
      </w:r>
    </w:p>
    <w:p w14:paraId="27270AF1" w14:textId="5901D924" w:rsidR="00AF597F" w:rsidRPr="004768AC" w:rsidRDefault="00AF597F" w:rsidP="000912A1">
      <w:pPr>
        <w:pStyle w:val="ListParagraph"/>
        <w:numPr>
          <w:ilvl w:val="0"/>
          <w:numId w:val="1"/>
        </w:numPr>
        <w:jc w:val="both"/>
        <w:rPr>
          <w:rFonts w:ascii="Times New Roman" w:hAnsi="Times New Roman" w:cs="Times New Roman"/>
        </w:rPr>
      </w:pPr>
      <w:r w:rsidRPr="004768AC">
        <w:rPr>
          <w:rFonts w:ascii="Times New Roman" w:hAnsi="Times New Roman" w:cs="Times New Roman"/>
        </w:rPr>
        <w:t>LOT 3</w:t>
      </w:r>
      <w:r w:rsidR="000912A1" w:rsidRPr="004768AC">
        <w:rPr>
          <w:rFonts w:ascii="Times New Roman" w:hAnsi="Times New Roman" w:cs="Times New Roman"/>
        </w:rPr>
        <w:t xml:space="preserve">: </w:t>
      </w:r>
      <w:r w:rsidR="004768AC" w:rsidRPr="004768AC">
        <w:rPr>
          <w:rFonts w:ascii="Times New Roman" w:hAnsi="Times New Roman" w:cs="Times New Roman"/>
        </w:rPr>
        <w:t>ne više od</w:t>
      </w:r>
      <w:r w:rsidR="004768AC" w:rsidRPr="004768AC">
        <w:rPr>
          <w:rFonts w:ascii="Times New Roman" w:hAnsi="Times New Roman" w:cs="Times New Roman"/>
        </w:rPr>
        <w:t xml:space="preserve"> </w:t>
      </w:r>
      <w:r w:rsidR="000912A1" w:rsidRPr="004768AC">
        <w:rPr>
          <w:rFonts w:ascii="Times New Roman" w:hAnsi="Times New Roman" w:cs="Times New Roman"/>
        </w:rPr>
        <w:t>20.000,00 KM</w:t>
      </w:r>
    </w:p>
    <w:p w14:paraId="4F2CA789" w14:textId="1EAFE622" w:rsidR="00AF597F" w:rsidRPr="004768AC" w:rsidRDefault="00AF597F" w:rsidP="000912A1">
      <w:pPr>
        <w:jc w:val="both"/>
        <w:rPr>
          <w:rFonts w:ascii="Times New Roman" w:hAnsi="Times New Roman" w:cs="Times New Roman"/>
        </w:rPr>
      </w:pPr>
      <w:r w:rsidRPr="004768AC">
        <w:rPr>
          <w:rFonts w:ascii="Times New Roman" w:hAnsi="Times New Roman" w:cs="Times New Roman"/>
        </w:rPr>
        <w:t>Minimalno vlastito učešće aplikanta:</w:t>
      </w:r>
    </w:p>
    <w:p w14:paraId="0CBE2828" w14:textId="18CC91FB" w:rsidR="00AF597F" w:rsidRPr="004768AC" w:rsidRDefault="00AF597F" w:rsidP="000912A1">
      <w:pPr>
        <w:pStyle w:val="ListParagraph"/>
        <w:numPr>
          <w:ilvl w:val="0"/>
          <w:numId w:val="1"/>
        </w:numPr>
        <w:jc w:val="both"/>
        <w:rPr>
          <w:rFonts w:ascii="Times New Roman" w:hAnsi="Times New Roman" w:cs="Times New Roman"/>
        </w:rPr>
      </w:pPr>
      <w:r w:rsidRPr="004768AC">
        <w:rPr>
          <w:rFonts w:ascii="Times New Roman" w:hAnsi="Times New Roman" w:cs="Times New Roman"/>
        </w:rPr>
        <w:t>50% od ukupne vrijednosti projekta za svaki od LOT-ova.</w:t>
      </w:r>
    </w:p>
    <w:p w14:paraId="23DE1217" w14:textId="77777777" w:rsidR="001067FB" w:rsidRPr="004768AC" w:rsidRDefault="001067FB" w:rsidP="00432039">
      <w:pPr>
        <w:pStyle w:val="ListParagraph"/>
        <w:jc w:val="both"/>
        <w:rPr>
          <w:rFonts w:ascii="Times New Roman" w:hAnsi="Times New Roman" w:cs="Times New Roman"/>
        </w:rPr>
      </w:pPr>
    </w:p>
    <w:p w14:paraId="4A348968" w14:textId="780F3647" w:rsidR="00FB270D" w:rsidRPr="004768AC" w:rsidRDefault="00FB270D" w:rsidP="000912A1">
      <w:pPr>
        <w:jc w:val="both"/>
        <w:rPr>
          <w:rFonts w:ascii="Times New Roman" w:hAnsi="Times New Roman" w:cs="Times New Roman"/>
          <w:b/>
          <w:bCs/>
        </w:rPr>
      </w:pPr>
      <w:r w:rsidRPr="004768AC">
        <w:rPr>
          <w:rFonts w:ascii="Times New Roman" w:hAnsi="Times New Roman" w:cs="Times New Roman"/>
          <w:b/>
          <w:bCs/>
        </w:rPr>
        <w:t xml:space="preserve">4. </w:t>
      </w:r>
      <w:r w:rsidR="003211BC" w:rsidRPr="004768AC">
        <w:rPr>
          <w:rFonts w:ascii="Times New Roman" w:hAnsi="Times New Roman" w:cs="Times New Roman"/>
          <w:b/>
          <w:bCs/>
        </w:rPr>
        <w:t>Pravo učešća</w:t>
      </w:r>
    </w:p>
    <w:p w14:paraId="791B95C5" w14:textId="77777777" w:rsidR="003211BC" w:rsidRPr="004768AC" w:rsidRDefault="003211BC" w:rsidP="000912A1">
      <w:pPr>
        <w:spacing w:after="60" w:line="240" w:lineRule="auto"/>
        <w:jc w:val="both"/>
        <w:rPr>
          <w:rFonts w:ascii="Times New Roman" w:eastAsia="Times New Roman" w:hAnsi="Times New Roman" w:cs="Times New Roman"/>
          <w:bCs/>
          <w:kern w:val="0"/>
          <w:lang w:eastAsia="bs-Latn-BA"/>
          <w14:ligatures w14:val="none"/>
        </w:rPr>
      </w:pPr>
      <w:r w:rsidRPr="004768AC">
        <w:rPr>
          <w:rFonts w:ascii="Times New Roman" w:eastAsia="Times New Roman" w:hAnsi="Times New Roman" w:cs="Times New Roman"/>
          <w:bCs/>
          <w:kern w:val="0"/>
          <w:lang w:eastAsia="bs-Latn-BA"/>
          <w14:ligatures w14:val="none"/>
        </w:rPr>
        <w:t>Učešće u ovom Javnom pozivu je otvoreno na jednakim osnovama za sve etažne vlasnike zgrada na području Grada Zenica koje zastupaju odbori etažnih vlasnika ili ovlašteni upravitelji.</w:t>
      </w:r>
    </w:p>
    <w:p w14:paraId="324DA113" w14:textId="402D4C54" w:rsidR="003211BC" w:rsidRPr="004768AC" w:rsidRDefault="003211BC" w:rsidP="000912A1">
      <w:pPr>
        <w:spacing w:before="60" w:after="120" w:line="240" w:lineRule="auto"/>
        <w:jc w:val="both"/>
        <w:rPr>
          <w:rFonts w:ascii="Times New Roman" w:eastAsia="Times New Roman" w:hAnsi="Times New Roman" w:cs="Times New Roman"/>
          <w:bCs/>
          <w:kern w:val="0"/>
          <w:lang w:eastAsia="bs-Latn-BA"/>
          <w14:ligatures w14:val="none"/>
        </w:rPr>
      </w:pPr>
      <w:r w:rsidRPr="004768AC">
        <w:rPr>
          <w:rFonts w:ascii="Times New Roman" w:eastAsia="Times New Roman" w:hAnsi="Times New Roman" w:cs="Times New Roman"/>
          <w:bCs/>
          <w:kern w:val="0"/>
          <w:lang w:eastAsia="bs-Latn-BA"/>
          <w14:ligatures w14:val="none"/>
        </w:rPr>
        <w:t>Etažni vlasnici se na Javni poziv prijavljuju putem odbora etažnih vlasnika ili ovlaštenih upravitelja. Moguća je prijava na jedan ili na dva lota (nije se moguće prijaviti istovremeno na LOT 2 i  LOT3).</w:t>
      </w:r>
    </w:p>
    <w:p w14:paraId="67292F24" w14:textId="77777777" w:rsidR="003211BC" w:rsidRPr="004768AC" w:rsidRDefault="003211BC" w:rsidP="000912A1">
      <w:pPr>
        <w:spacing w:before="60" w:after="0" w:line="240" w:lineRule="auto"/>
        <w:ind w:left="567" w:hanging="567"/>
        <w:jc w:val="both"/>
        <w:rPr>
          <w:rFonts w:ascii="Times New Roman" w:eastAsia="Times New Roman" w:hAnsi="Times New Roman" w:cs="Times New Roman"/>
          <w:bCs/>
          <w:kern w:val="0"/>
          <w:lang w:eastAsia="bs-Latn-BA"/>
          <w14:ligatures w14:val="none"/>
        </w:rPr>
      </w:pPr>
      <w:r w:rsidRPr="004768AC">
        <w:rPr>
          <w:rFonts w:ascii="Times New Roman" w:eastAsia="Times New Roman" w:hAnsi="Times New Roman" w:cs="Times New Roman"/>
          <w:bCs/>
          <w:kern w:val="0"/>
          <w:lang w:eastAsia="bs-Latn-BA"/>
          <w14:ligatures w14:val="none"/>
        </w:rPr>
        <w:t xml:space="preserve">Pravo učešća na ovom javnom pozivu </w:t>
      </w:r>
      <w:r w:rsidRPr="004768AC">
        <w:rPr>
          <w:rFonts w:ascii="Times New Roman" w:eastAsia="Times New Roman" w:hAnsi="Times New Roman" w:cs="Times New Roman"/>
          <w:b/>
          <w:bCs/>
          <w:kern w:val="0"/>
          <w:lang w:eastAsia="bs-Latn-BA"/>
          <w14:ligatures w14:val="none"/>
        </w:rPr>
        <w:t>nemaju:</w:t>
      </w:r>
    </w:p>
    <w:p w14:paraId="7A2356BD" w14:textId="77777777" w:rsidR="000912A1" w:rsidRPr="004768AC" w:rsidRDefault="003211BC" w:rsidP="000912A1">
      <w:pPr>
        <w:pStyle w:val="ListParagraph"/>
        <w:numPr>
          <w:ilvl w:val="0"/>
          <w:numId w:val="7"/>
        </w:numPr>
        <w:spacing w:after="0" w:line="240" w:lineRule="auto"/>
        <w:jc w:val="both"/>
        <w:rPr>
          <w:rFonts w:ascii="Times New Roman" w:eastAsia="Times New Roman" w:hAnsi="Times New Roman" w:cs="Times New Roman"/>
          <w:bCs/>
          <w:kern w:val="0"/>
          <w:lang w:eastAsia="bs-Latn-BA"/>
          <w14:ligatures w14:val="none"/>
        </w:rPr>
      </w:pPr>
      <w:r w:rsidRPr="004768AC">
        <w:rPr>
          <w:rFonts w:ascii="Times New Roman" w:eastAsia="Times New Roman" w:hAnsi="Times New Roman" w:cs="Times New Roman"/>
          <w:bCs/>
          <w:kern w:val="0"/>
          <w:lang w:eastAsia="bs-Latn-BA"/>
          <w14:ligatures w14:val="none"/>
        </w:rPr>
        <w:t xml:space="preserve">vlasnici objekata za individualno stanovanje, </w:t>
      </w:r>
    </w:p>
    <w:p w14:paraId="53610E80" w14:textId="77777777" w:rsidR="000912A1" w:rsidRPr="004768AC" w:rsidRDefault="003211BC" w:rsidP="000912A1">
      <w:pPr>
        <w:pStyle w:val="ListParagraph"/>
        <w:numPr>
          <w:ilvl w:val="0"/>
          <w:numId w:val="7"/>
        </w:numPr>
        <w:spacing w:after="0" w:line="240" w:lineRule="auto"/>
        <w:jc w:val="both"/>
        <w:rPr>
          <w:rFonts w:ascii="Times New Roman" w:eastAsia="Times New Roman" w:hAnsi="Times New Roman" w:cs="Times New Roman"/>
          <w:bCs/>
          <w:kern w:val="0"/>
          <w:lang w:eastAsia="bs-Latn-BA"/>
          <w14:ligatures w14:val="none"/>
        </w:rPr>
      </w:pPr>
      <w:r w:rsidRPr="004768AC">
        <w:rPr>
          <w:rFonts w:ascii="Times New Roman" w:eastAsia="Times New Roman" w:hAnsi="Times New Roman" w:cs="Times New Roman"/>
          <w:bCs/>
          <w:kern w:val="0"/>
          <w:lang w:eastAsia="bs-Latn-BA"/>
          <w14:ligatures w14:val="none"/>
        </w:rPr>
        <w:t>vlasnici javnih objekata, kao i</w:t>
      </w:r>
    </w:p>
    <w:p w14:paraId="2E7F18B1" w14:textId="01EBEFF4" w:rsidR="003211BC" w:rsidRPr="004768AC" w:rsidRDefault="003211BC" w:rsidP="000912A1">
      <w:pPr>
        <w:pStyle w:val="ListParagraph"/>
        <w:numPr>
          <w:ilvl w:val="0"/>
          <w:numId w:val="7"/>
        </w:numPr>
        <w:spacing w:after="0" w:line="240" w:lineRule="auto"/>
        <w:jc w:val="both"/>
        <w:rPr>
          <w:rFonts w:ascii="Times New Roman" w:eastAsia="Times New Roman" w:hAnsi="Times New Roman" w:cs="Times New Roman"/>
          <w:bCs/>
          <w:kern w:val="0"/>
          <w:lang w:eastAsia="bs-Latn-BA"/>
          <w14:ligatures w14:val="none"/>
        </w:rPr>
      </w:pPr>
      <w:r w:rsidRPr="004768AC">
        <w:rPr>
          <w:rFonts w:ascii="Times New Roman" w:eastAsia="Times New Roman" w:hAnsi="Times New Roman" w:cs="Times New Roman"/>
          <w:bCs/>
          <w:kern w:val="0"/>
          <w:lang w:eastAsia="bs-Latn-BA"/>
          <w14:ligatures w14:val="none"/>
        </w:rPr>
        <w:t xml:space="preserve">etažni vlasnici jednog ulaza, ukoliko se zgrada sastoji od više ulaza, osim ukoliko između ulaza postoje fizičke dilatacije. </w:t>
      </w:r>
    </w:p>
    <w:p w14:paraId="5CE2FFDD" w14:textId="77777777" w:rsidR="003211BC" w:rsidRPr="004768AC" w:rsidRDefault="003211BC" w:rsidP="000912A1">
      <w:pPr>
        <w:spacing w:after="0" w:line="240" w:lineRule="auto"/>
        <w:jc w:val="both"/>
        <w:rPr>
          <w:rFonts w:ascii="Times New Roman" w:eastAsia="Times New Roman" w:hAnsi="Times New Roman" w:cs="Times New Roman"/>
          <w:bCs/>
          <w:kern w:val="0"/>
          <w:lang w:eastAsia="bs-Latn-BA"/>
          <w14:ligatures w14:val="none"/>
        </w:rPr>
      </w:pPr>
      <w:r w:rsidRPr="004768AC">
        <w:rPr>
          <w:rFonts w:ascii="Times New Roman" w:eastAsia="Times New Roman" w:hAnsi="Times New Roman" w:cs="Times New Roman"/>
          <w:bCs/>
          <w:kern w:val="0"/>
          <w:lang w:eastAsia="bs-Latn-BA"/>
          <w14:ligatures w14:val="none"/>
        </w:rPr>
        <w:t>U slučaju prijave etažnih vlasnika zgrade sa više ulaza, etažni vlasnici svih ulaza se prijavljuju jednom prijavom, a uz prijavu se dostavlja izjava o određivanju ovlaštenog predstavnika svih ulaza.</w:t>
      </w:r>
    </w:p>
    <w:p w14:paraId="02184011" w14:textId="77777777" w:rsidR="002D68C7" w:rsidRPr="004768AC" w:rsidRDefault="002D68C7" w:rsidP="000912A1">
      <w:pPr>
        <w:jc w:val="both"/>
        <w:rPr>
          <w:rFonts w:ascii="Times New Roman" w:hAnsi="Times New Roman" w:cs="Times New Roman"/>
        </w:rPr>
      </w:pPr>
    </w:p>
    <w:p w14:paraId="3CE34124" w14:textId="6968F117" w:rsidR="00FB270D" w:rsidRPr="004768AC" w:rsidRDefault="00412338" w:rsidP="000912A1">
      <w:pPr>
        <w:jc w:val="both"/>
        <w:rPr>
          <w:rFonts w:ascii="Times New Roman" w:hAnsi="Times New Roman" w:cs="Times New Roman"/>
          <w:b/>
          <w:bCs/>
        </w:rPr>
      </w:pPr>
      <w:r w:rsidRPr="004768AC">
        <w:rPr>
          <w:rFonts w:ascii="Times New Roman" w:hAnsi="Times New Roman" w:cs="Times New Roman"/>
          <w:b/>
          <w:bCs/>
        </w:rPr>
        <w:t>5</w:t>
      </w:r>
      <w:r w:rsidR="00FB270D" w:rsidRPr="004768AC">
        <w:rPr>
          <w:rFonts w:ascii="Times New Roman" w:hAnsi="Times New Roman" w:cs="Times New Roman"/>
          <w:b/>
          <w:bCs/>
        </w:rPr>
        <w:t>. Prihvatljive aktivnosti</w:t>
      </w:r>
      <w:r w:rsidR="002D68C7" w:rsidRPr="004768AC">
        <w:rPr>
          <w:rFonts w:ascii="Times New Roman" w:hAnsi="Times New Roman" w:cs="Times New Roman"/>
          <w:b/>
          <w:bCs/>
        </w:rPr>
        <w:t xml:space="preserve"> </w:t>
      </w:r>
      <w:r w:rsidR="00D5164A" w:rsidRPr="004768AC">
        <w:rPr>
          <w:rFonts w:ascii="Times New Roman" w:hAnsi="Times New Roman" w:cs="Times New Roman"/>
          <w:b/>
          <w:bCs/>
        </w:rPr>
        <w:t>i troškovi</w:t>
      </w:r>
    </w:p>
    <w:p w14:paraId="7546C6DC" w14:textId="4B8AAA32" w:rsidR="00FB270D" w:rsidRPr="004768AC" w:rsidRDefault="00FB270D" w:rsidP="000912A1">
      <w:pPr>
        <w:pStyle w:val="ListParagraph"/>
        <w:numPr>
          <w:ilvl w:val="0"/>
          <w:numId w:val="1"/>
        </w:numPr>
        <w:jc w:val="both"/>
        <w:rPr>
          <w:rFonts w:ascii="Times New Roman" w:hAnsi="Times New Roman" w:cs="Times New Roman"/>
        </w:rPr>
      </w:pPr>
      <w:r w:rsidRPr="004768AC">
        <w:rPr>
          <w:rFonts w:ascii="Times New Roman" w:hAnsi="Times New Roman" w:cs="Times New Roman"/>
        </w:rPr>
        <w:t>utopljavanje fasada (termoizolacija),</w:t>
      </w:r>
    </w:p>
    <w:p w14:paraId="3747DC62" w14:textId="54121B36" w:rsidR="00FB270D" w:rsidRPr="004768AC" w:rsidRDefault="00FB270D" w:rsidP="000912A1">
      <w:pPr>
        <w:pStyle w:val="ListParagraph"/>
        <w:numPr>
          <w:ilvl w:val="0"/>
          <w:numId w:val="1"/>
        </w:numPr>
        <w:jc w:val="both"/>
        <w:rPr>
          <w:rFonts w:ascii="Times New Roman" w:hAnsi="Times New Roman" w:cs="Times New Roman"/>
        </w:rPr>
      </w:pPr>
      <w:r w:rsidRPr="004768AC">
        <w:rPr>
          <w:rFonts w:ascii="Times New Roman" w:hAnsi="Times New Roman" w:cs="Times New Roman"/>
        </w:rPr>
        <w:t xml:space="preserve">ugradnju </w:t>
      </w:r>
      <w:r w:rsidR="004768AC" w:rsidRPr="004768AC">
        <w:rPr>
          <w:rFonts w:ascii="Times New Roman" w:hAnsi="Times New Roman" w:cs="Times New Roman"/>
        </w:rPr>
        <w:t>termo</w:t>
      </w:r>
      <w:r w:rsidRPr="004768AC">
        <w:rPr>
          <w:rFonts w:ascii="Times New Roman" w:hAnsi="Times New Roman" w:cs="Times New Roman"/>
        </w:rPr>
        <w:t>izolacionih materijala,</w:t>
      </w:r>
    </w:p>
    <w:p w14:paraId="5ADE7C2F" w14:textId="77777777" w:rsidR="00FB270D" w:rsidRPr="004768AC" w:rsidRDefault="00FB270D" w:rsidP="000912A1">
      <w:pPr>
        <w:pStyle w:val="ListParagraph"/>
        <w:numPr>
          <w:ilvl w:val="0"/>
          <w:numId w:val="1"/>
        </w:numPr>
        <w:jc w:val="both"/>
        <w:rPr>
          <w:rFonts w:ascii="Times New Roman" w:hAnsi="Times New Roman" w:cs="Times New Roman"/>
        </w:rPr>
      </w:pPr>
      <w:r w:rsidRPr="004768AC">
        <w:rPr>
          <w:rFonts w:ascii="Times New Roman" w:hAnsi="Times New Roman" w:cs="Times New Roman"/>
        </w:rPr>
        <w:t>sanaciju krovnih konstrukcija (u skladu sa LOT-ovima),</w:t>
      </w:r>
    </w:p>
    <w:p w14:paraId="741785E7" w14:textId="78CA5F48" w:rsidR="00D5164A" w:rsidRPr="004768AC" w:rsidRDefault="00FB270D" w:rsidP="000912A1">
      <w:pPr>
        <w:pStyle w:val="ListParagraph"/>
        <w:numPr>
          <w:ilvl w:val="0"/>
          <w:numId w:val="1"/>
        </w:numPr>
        <w:jc w:val="both"/>
        <w:rPr>
          <w:rFonts w:ascii="Times New Roman" w:hAnsi="Times New Roman" w:cs="Times New Roman"/>
        </w:rPr>
      </w:pPr>
      <w:r w:rsidRPr="004768AC">
        <w:rPr>
          <w:rFonts w:ascii="Times New Roman" w:hAnsi="Times New Roman" w:cs="Times New Roman"/>
        </w:rPr>
        <w:t>prateće građevinske radove (limarija, oluci, obrada klupica, demontaža i montaža opreme i sl.).</w:t>
      </w:r>
    </w:p>
    <w:p w14:paraId="044369C3" w14:textId="7B6A913B" w:rsidR="00FB270D" w:rsidRPr="004768AC" w:rsidRDefault="00D5164A" w:rsidP="000912A1">
      <w:pPr>
        <w:ind w:left="360"/>
        <w:jc w:val="both"/>
        <w:rPr>
          <w:rFonts w:ascii="Times New Roman" w:hAnsi="Times New Roman" w:cs="Times New Roman"/>
        </w:rPr>
      </w:pPr>
      <w:r w:rsidRPr="004768AC">
        <w:rPr>
          <w:rFonts w:ascii="Times New Roman" w:hAnsi="Times New Roman" w:cs="Times New Roman"/>
        </w:rPr>
        <w:lastRenderedPageBreak/>
        <w:t>U prihvatljive troškove se podrazumijevaju isključivo:</w:t>
      </w:r>
    </w:p>
    <w:p w14:paraId="1129576F" w14:textId="77777777" w:rsidR="00D5164A" w:rsidRPr="004768AC" w:rsidRDefault="00D5164A" w:rsidP="000912A1">
      <w:pPr>
        <w:pStyle w:val="ListParagraph"/>
        <w:numPr>
          <w:ilvl w:val="0"/>
          <w:numId w:val="1"/>
        </w:numPr>
        <w:jc w:val="both"/>
        <w:rPr>
          <w:rFonts w:ascii="Times New Roman" w:hAnsi="Times New Roman" w:cs="Times New Roman"/>
        </w:rPr>
      </w:pPr>
      <w:r w:rsidRPr="004768AC">
        <w:rPr>
          <w:rFonts w:ascii="Times New Roman" w:hAnsi="Times New Roman" w:cs="Times New Roman"/>
        </w:rPr>
        <w:t>troškovi nabavke materijala,</w:t>
      </w:r>
    </w:p>
    <w:p w14:paraId="158103BD" w14:textId="6C2FB821" w:rsidR="00FB270D" w:rsidRPr="004768AC" w:rsidRDefault="00D5164A" w:rsidP="000912A1">
      <w:pPr>
        <w:pStyle w:val="ListParagraph"/>
        <w:numPr>
          <w:ilvl w:val="0"/>
          <w:numId w:val="1"/>
        </w:numPr>
        <w:jc w:val="both"/>
        <w:rPr>
          <w:rFonts w:ascii="Times New Roman" w:hAnsi="Times New Roman" w:cs="Times New Roman"/>
        </w:rPr>
      </w:pPr>
      <w:r w:rsidRPr="004768AC">
        <w:rPr>
          <w:rFonts w:ascii="Times New Roman" w:hAnsi="Times New Roman" w:cs="Times New Roman"/>
        </w:rPr>
        <w:t>troškovi izvođenja radova</w:t>
      </w:r>
      <w:r w:rsidR="000912A1" w:rsidRPr="004768AC">
        <w:rPr>
          <w:rFonts w:ascii="Times New Roman" w:hAnsi="Times New Roman" w:cs="Times New Roman"/>
        </w:rPr>
        <w:t>.</w:t>
      </w:r>
    </w:p>
    <w:p w14:paraId="72228E0F" w14:textId="15AF3947" w:rsidR="00FB270D" w:rsidRPr="004768AC" w:rsidRDefault="00FB270D" w:rsidP="000912A1">
      <w:pPr>
        <w:jc w:val="both"/>
        <w:rPr>
          <w:rFonts w:ascii="Times New Roman" w:hAnsi="Times New Roman" w:cs="Times New Roman"/>
          <w:b/>
          <w:bCs/>
        </w:rPr>
      </w:pPr>
      <w:r w:rsidRPr="004768AC">
        <w:rPr>
          <w:rFonts w:ascii="Times New Roman" w:hAnsi="Times New Roman" w:cs="Times New Roman"/>
          <w:b/>
          <w:bCs/>
        </w:rPr>
        <w:t>Neprihvatljivi troškovi su:</w:t>
      </w:r>
    </w:p>
    <w:p w14:paraId="32B0D5BA" w14:textId="77777777" w:rsidR="00FB270D" w:rsidRPr="004768AC" w:rsidRDefault="00FB270D" w:rsidP="000912A1">
      <w:pPr>
        <w:pStyle w:val="ListParagraph"/>
        <w:numPr>
          <w:ilvl w:val="0"/>
          <w:numId w:val="2"/>
        </w:numPr>
        <w:jc w:val="both"/>
        <w:rPr>
          <w:rFonts w:ascii="Times New Roman" w:hAnsi="Times New Roman" w:cs="Times New Roman"/>
        </w:rPr>
      </w:pPr>
      <w:r w:rsidRPr="004768AC">
        <w:rPr>
          <w:rFonts w:ascii="Times New Roman" w:hAnsi="Times New Roman" w:cs="Times New Roman"/>
        </w:rPr>
        <w:t>troškovi koji nisu direktno vezani za energetsku efikasnost,</w:t>
      </w:r>
    </w:p>
    <w:p w14:paraId="45041936" w14:textId="77777777" w:rsidR="00FB270D" w:rsidRPr="004768AC" w:rsidRDefault="00FB270D" w:rsidP="000912A1">
      <w:pPr>
        <w:pStyle w:val="ListParagraph"/>
        <w:numPr>
          <w:ilvl w:val="0"/>
          <w:numId w:val="2"/>
        </w:numPr>
        <w:jc w:val="both"/>
        <w:rPr>
          <w:rFonts w:ascii="Times New Roman" w:hAnsi="Times New Roman" w:cs="Times New Roman"/>
        </w:rPr>
      </w:pPr>
      <w:r w:rsidRPr="004768AC">
        <w:rPr>
          <w:rFonts w:ascii="Times New Roman" w:hAnsi="Times New Roman" w:cs="Times New Roman"/>
        </w:rPr>
        <w:t>unutrašnji radovi u stanovima,</w:t>
      </w:r>
    </w:p>
    <w:p w14:paraId="494801E3" w14:textId="77777777" w:rsidR="00FB270D" w:rsidRPr="004768AC" w:rsidRDefault="00FB270D" w:rsidP="000912A1">
      <w:pPr>
        <w:pStyle w:val="ListParagraph"/>
        <w:numPr>
          <w:ilvl w:val="0"/>
          <w:numId w:val="2"/>
        </w:numPr>
        <w:jc w:val="both"/>
        <w:rPr>
          <w:rFonts w:ascii="Times New Roman" w:hAnsi="Times New Roman" w:cs="Times New Roman"/>
        </w:rPr>
      </w:pPr>
      <w:r w:rsidRPr="004768AC">
        <w:rPr>
          <w:rFonts w:ascii="Times New Roman" w:hAnsi="Times New Roman" w:cs="Times New Roman"/>
        </w:rPr>
        <w:t>luksuzni i estetski radovi koji nisu predmet projekta,</w:t>
      </w:r>
    </w:p>
    <w:p w14:paraId="2A1F24D6" w14:textId="68BD7027" w:rsidR="00D5164A" w:rsidRPr="004768AC" w:rsidRDefault="00D5164A" w:rsidP="001067FB">
      <w:pPr>
        <w:pStyle w:val="ListParagraph"/>
        <w:numPr>
          <w:ilvl w:val="0"/>
          <w:numId w:val="2"/>
        </w:numPr>
        <w:jc w:val="both"/>
        <w:rPr>
          <w:rFonts w:ascii="Times New Roman" w:hAnsi="Times New Roman" w:cs="Times New Roman"/>
        </w:rPr>
      </w:pPr>
      <w:r w:rsidRPr="004768AC">
        <w:rPr>
          <w:rFonts w:ascii="Times New Roman" w:hAnsi="Times New Roman" w:cs="Times New Roman"/>
        </w:rPr>
        <w:t>administrativni troškovi</w:t>
      </w:r>
      <w:r w:rsidR="000912A1" w:rsidRPr="004768AC">
        <w:rPr>
          <w:rFonts w:ascii="Times New Roman" w:hAnsi="Times New Roman" w:cs="Times New Roman"/>
        </w:rPr>
        <w:t>.</w:t>
      </w:r>
    </w:p>
    <w:p w14:paraId="2B9A9BB2" w14:textId="6BA7D626" w:rsidR="00FB270D" w:rsidRPr="004768AC" w:rsidRDefault="00412338" w:rsidP="000912A1">
      <w:pPr>
        <w:jc w:val="both"/>
        <w:rPr>
          <w:rFonts w:ascii="Times New Roman" w:hAnsi="Times New Roman" w:cs="Times New Roman"/>
          <w:b/>
          <w:bCs/>
        </w:rPr>
      </w:pPr>
      <w:r w:rsidRPr="004768AC">
        <w:rPr>
          <w:rFonts w:ascii="Times New Roman" w:hAnsi="Times New Roman" w:cs="Times New Roman"/>
          <w:b/>
          <w:bCs/>
        </w:rPr>
        <w:t>6</w:t>
      </w:r>
      <w:r w:rsidR="00FB270D" w:rsidRPr="004768AC">
        <w:rPr>
          <w:rFonts w:ascii="Times New Roman" w:hAnsi="Times New Roman" w:cs="Times New Roman"/>
          <w:b/>
          <w:bCs/>
        </w:rPr>
        <w:t>. Pravila vidljivosti</w:t>
      </w:r>
    </w:p>
    <w:p w14:paraId="5A863ACE" w14:textId="5AD07755" w:rsidR="00FB270D" w:rsidRPr="004768AC" w:rsidRDefault="00FB270D" w:rsidP="000912A1">
      <w:pPr>
        <w:jc w:val="both"/>
        <w:rPr>
          <w:rFonts w:ascii="Times New Roman" w:hAnsi="Times New Roman" w:cs="Times New Roman"/>
        </w:rPr>
      </w:pPr>
      <w:r w:rsidRPr="004768AC">
        <w:rPr>
          <w:rFonts w:ascii="Times New Roman" w:hAnsi="Times New Roman" w:cs="Times New Roman"/>
        </w:rPr>
        <w:t>Korisnici sredstava dužni su osigurati vidljivost projekta:</w:t>
      </w:r>
    </w:p>
    <w:p w14:paraId="6A8ACA73" w14:textId="77777777" w:rsidR="00FB270D" w:rsidRPr="004768AC" w:rsidRDefault="00FB270D" w:rsidP="000912A1">
      <w:pPr>
        <w:pStyle w:val="ListParagraph"/>
        <w:numPr>
          <w:ilvl w:val="0"/>
          <w:numId w:val="3"/>
        </w:numPr>
        <w:jc w:val="both"/>
        <w:rPr>
          <w:rFonts w:ascii="Times New Roman" w:hAnsi="Times New Roman" w:cs="Times New Roman"/>
        </w:rPr>
      </w:pPr>
      <w:r w:rsidRPr="004768AC">
        <w:rPr>
          <w:rFonts w:ascii="Times New Roman" w:hAnsi="Times New Roman" w:cs="Times New Roman"/>
        </w:rPr>
        <w:t>isticanjem informacije da je projekat sufinansiran od strane Grada Zenice,</w:t>
      </w:r>
    </w:p>
    <w:p w14:paraId="698580E8" w14:textId="77777777" w:rsidR="00FB270D" w:rsidRPr="004768AC" w:rsidRDefault="00FB270D" w:rsidP="000912A1">
      <w:pPr>
        <w:pStyle w:val="ListParagraph"/>
        <w:numPr>
          <w:ilvl w:val="0"/>
          <w:numId w:val="3"/>
        </w:numPr>
        <w:jc w:val="both"/>
        <w:rPr>
          <w:rFonts w:ascii="Times New Roman" w:hAnsi="Times New Roman" w:cs="Times New Roman"/>
        </w:rPr>
      </w:pPr>
      <w:r w:rsidRPr="004768AC">
        <w:rPr>
          <w:rFonts w:ascii="Times New Roman" w:hAnsi="Times New Roman" w:cs="Times New Roman"/>
        </w:rPr>
        <w:t>postavljanjem informativne ploče ili druge oznake na objektu.</w:t>
      </w:r>
    </w:p>
    <w:p w14:paraId="77EC685E" w14:textId="4C7F82B8" w:rsidR="00FB270D" w:rsidRPr="004768AC" w:rsidRDefault="00412338" w:rsidP="000912A1">
      <w:pPr>
        <w:jc w:val="both"/>
        <w:rPr>
          <w:rFonts w:ascii="Times New Roman" w:hAnsi="Times New Roman" w:cs="Times New Roman"/>
          <w:b/>
          <w:bCs/>
        </w:rPr>
      </w:pPr>
      <w:r w:rsidRPr="004768AC">
        <w:rPr>
          <w:rFonts w:ascii="Times New Roman" w:hAnsi="Times New Roman" w:cs="Times New Roman"/>
          <w:b/>
          <w:bCs/>
        </w:rPr>
        <w:t>7</w:t>
      </w:r>
      <w:r w:rsidR="00FB270D" w:rsidRPr="004768AC">
        <w:rPr>
          <w:rFonts w:ascii="Times New Roman" w:hAnsi="Times New Roman" w:cs="Times New Roman"/>
          <w:b/>
          <w:bCs/>
        </w:rPr>
        <w:t xml:space="preserve">. </w:t>
      </w:r>
      <w:r w:rsidR="00D5164A" w:rsidRPr="004768AC">
        <w:rPr>
          <w:rFonts w:ascii="Times New Roman" w:hAnsi="Times New Roman" w:cs="Times New Roman"/>
          <w:b/>
          <w:bCs/>
        </w:rPr>
        <w:t>Selekcija/</w:t>
      </w:r>
      <w:r w:rsidR="00FB270D" w:rsidRPr="004768AC">
        <w:rPr>
          <w:rFonts w:ascii="Times New Roman" w:hAnsi="Times New Roman" w:cs="Times New Roman"/>
          <w:b/>
          <w:bCs/>
        </w:rPr>
        <w:t xml:space="preserve"> provjera prijava</w:t>
      </w:r>
      <w:r w:rsidR="00A45C20" w:rsidRPr="004768AC">
        <w:rPr>
          <w:rFonts w:ascii="Times New Roman" w:hAnsi="Times New Roman" w:cs="Times New Roman"/>
          <w:b/>
          <w:bCs/>
        </w:rPr>
        <w:t xml:space="preserve"> i bodovanje</w:t>
      </w:r>
    </w:p>
    <w:p w14:paraId="6CD59DB8" w14:textId="64F6DCF8" w:rsidR="00FB270D" w:rsidRPr="004768AC" w:rsidRDefault="00A45C20" w:rsidP="000912A1">
      <w:pPr>
        <w:jc w:val="both"/>
        <w:rPr>
          <w:rFonts w:ascii="Times New Roman" w:hAnsi="Times New Roman" w:cs="Times New Roman"/>
        </w:rPr>
      </w:pPr>
      <w:r w:rsidRPr="004768AC">
        <w:rPr>
          <w:rFonts w:ascii="Times New Roman" w:hAnsi="Times New Roman" w:cs="Times New Roman"/>
        </w:rPr>
        <w:t xml:space="preserve">Postupak  po Javnom pozivu provest će komisija koju će imenovati Gradonačelnik. Gradska komisija izvršit će vrednovanje i rangiranje pristiglih prijava. Na osnovu Izvještaja o pozitivnoj ocjeni i mišljenju Komisije, resorna Služba će objaviti preliminarnu listu na oglasnoj ploči i web stranici. Učesnici Javnog poziva, koji su nezadovoljni provođenjem postupka i rangiranjem na Preliminarnoj listi mogu u roku od 8 dana od dana objavljivanja Preliminarne liste, uložiti prigovor Komisiji za rješavanje prigovora po Javnom pozivu putem </w:t>
      </w:r>
      <w:r w:rsidR="00CE524F" w:rsidRPr="004768AC">
        <w:rPr>
          <w:rFonts w:ascii="Times New Roman" w:hAnsi="Times New Roman" w:cs="Times New Roman"/>
        </w:rPr>
        <w:t>Službe za komunalne djelatnosti</w:t>
      </w:r>
      <w:r w:rsidRPr="004768AC">
        <w:rPr>
          <w:rFonts w:ascii="Times New Roman" w:hAnsi="Times New Roman" w:cs="Times New Roman"/>
        </w:rPr>
        <w:t>. Nakon razmatranja prigovora, Komisija sačinjava konačnu listu te istu dostavlja Gradonačelniku na potpis. Na osnovu Konačne liste, Grad Zenica će sa odabranim kandidatima potpisati ugovore u kojima će biti regulisana međusobna prava i obaveze.</w:t>
      </w:r>
    </w:p>
    <w:p w14:paraId="499B718D" w14:textId="46846CF2" w:rsidR="00FB270D" w:rsidRPr="004768AC" w:rsidRDefault="00FB270D" w:rsidP="000912A1">
      <w:pPr>
        <w:jc w:val="both"/>
        <w:rPr>
          <w:rFonts w:ascii="Times New Roman" w:hAnsi="Times New Roman" w:cs="Times New Roman"/>
          <w:b/>
          <w:bCs/>
        </w:rPr>
      </w:pPr>
      <w:r w:rsidRPr="004768AC">
        <w:rPr>
          <w:rFonts w:ascii="Times New Roman" w:hAnsi="Times New Roman" w:cs="Times New Roman"/>
          <w:b/>
          <w:bCs/>
        </w:rPr>
        <w:t>Nepotpune i neblagovremene prijave neće biti razmatrane.</w:t>
      </w:r>
    </w:p>
    <w:p w14:paraId="650539C0" w14:textId="650BE2A4" w:rsidR="00577693" w:rsidRPr="004768AC" w:rsidRDefault="00D86717" w:rsidP="000912A1">
      <w:pPr>
        <w:jc w:val="both"/>
        <w:rPr>
          <w:rFonts w:ascii="Times New Roman" w:hAnsi="Times New Roman" w:cs="Times New Roman"/>
          <w:b/>
          <w:bCs/>
        </w:rPr>
      </w:pPr>
      <w:r w:rsidRPr="004768AC">
        <w:rPr>
          <w:rFonts w:ascii="Times New Roman" w:hAnsi="Times New Roman" w:cs="Times New Roman"/>
          <w:b/>
          <w:bCs/>
        </w:rPr>
        <w:t>8</w:t>
      </w:r>
      <w:r w:rsidR="00FB270D" w:rsidRPr="004768AC">
        <w:rPr>
          <w:rFonts w:ascii="Times New Roman" w:hAnsi="Times New Roman" w:cs="Times New Roman"/>
          <w:b/>
          <w:bCs/>
        </w:rPr>
        <w:t>. Postupak odabira i bodovanja</w:t>
      </w:r>
    </w:p>
    <w:tbl>
      <w:tblPr>
        <w:tblStyle w:val="TableGrid"/>
        <w:tblpPr w:leftFromText="180" w:rightFromText="180" w:vertAnchor="text" w:horzAnchor="margin" w:tblpY="364"/>
        <w:tblW w:w="0" w:type="auto"/>
        <w:tblLook w:val="04A0" w:firstRow="1" w:lastRow="0" w:firstColumn="1" w:lastColumn="0" w:noHBand="0" w:noVBand="1"/>
      </w:tblPr>
      <w:tblGrid>
        <w:gridCol w:w="2253"/>
        <w:gridCol w:w="2253"/>
        <w:gridCol w:w="2254"/>
        <w:gridCol w:w="2255"/>
      </w:tblGrid>
      <w:tr w:rsidR="000912A1" w:rsidRPr="004768AC" w14:paraId="2D75E98D" w14:textId="77777777" w:rsidTr="00842EB8">
        <w:trPr>
          <w:trHeight w:val="274"/>
        </w:trPr>
        <w:tc>
          <w:tcPr>
            <w:tcW w:w="9015" w:type="dxa"/>
            <w:gridSpan w:val="4"/>
            <w:tcBorders>
              <w:top w:val="single" w:sz="12" w:space="0" w:color="auto"/>
              <w:left w:val="single" w:sz="12" w:space="0" w:color="auto"/>
              <w:bottom w:val="single" w:sz="12" w:space="0" w:color="auto"/>
              <w:right w:val="single" w:sz="12" w:space="0" w:color="auto"/>
            </w:tcBorders>
            <w:vAlign w:val="center"/>
          </w:tcPr>
          <w:p w14:paraId="640EF911" w14:textId="09B48C97" w:rsidR="000912A1" w:rsidRPr="004768AC" w:rsidRDefault="000912A1" w:rsidP="00842EB8">
            <w:pPr>
              <w:pStyle w:val="ListParagraph"/>
              <w:ind w:left="0"/>
              <w:jc w:val="center"/>
              <w:rPr>
                <w:rFonts w:ascii="Times New Roman" w:hAnsi="Times New Roman" w:cs="Times New Roman"/>
                <w:sz w:val="20"/>
                <w:szCs w:val="20"/>
              </w:rPr>
            </w:pPr>
            <w:r w:rsidRPr="004768AC">
              <w:rPr>
                <w:rFonts w:ascii="Times New Roman" w:hAnsi="Times New Roman" w:cs="Times New Roman"/>
                <w:sz w:val="20"/>
                <w:szCs w:val="20"/>
              </w:rPr>
              <w:t>STAROST ZGRADE (max. 30 bodova)</w:t>
            </w:r>
          </w:p>
        </w:tc>
      </w:tr>
      <w:tr w:rsidR="000912A1" w:rsidRPr="004768AC" w14:paraId="3E855B8F" w14:textId="77777777" w:rsidTr="00842EB8">
        <w:trPr>
          <w:trHeight w:val="118"/>
        </w:trPr>
        <w:tc>
          <w:tcPr>
            <w:tcW w:w="2253" w:type="dxa"/>
            <w:tcBorders>
              <w:top w:val="single" w:sz="12" w:space="0" w:color="auto"/>
              <w:left w:val="single" w:sz="12" w:space="0" w:color="auto"/>
              <w:bottom w:val="nil"/>
              <w:right w:val="single" w:sz="12" w:space="0" w:color="auto"/>
            </w:tcBorders>
            <w:shd w:val="clear" w:color="auto" w:fill="FAE2D5" w:themeFill="accent2" w:themeFillTint="33"/>
            <w:vAlign w:val="center"/>
          </w:tcPr>
          <w:p w14:paraId="1F8DA10A" w14:textId="10776AB1" w:rsidR="000912A1" w:rsidRPr="004768AC" w:rsidRDefault="000912A1" w:rsidP="00842EB8">
            <w:pPr>
              <w:pStyle w:val="ListParagraph"/>
              <w:ind w:left="0"/>
              <w:jc w:val="center"/>
              <w:rPr>
                <w:rFonts w:ascii="Times New Roman" w:hAnsi="Times New Roman" w:cs="Times New Roman"/>
                <w:sz w:val="20"/>
                <w:szCs w:val="20"/>
              </w:rPr>
            </w:pPr>
            <w:r w:rsidRPr="004768AC">
              <w:rPr>
                <w:rFonts w:ascii="Times New Roman" w:hAnsi="Times New Roman" w:cs="Times New Roman"/>
                <w:sz w:val="20"/>
                <w:szCs w:val="20"/>
              </w:rPr>
              <w:t>Preko 50 godina</w:t>
            </w:r>
          </w:p>
        </w:tc>
        <w:tc>
          <w:tcPr>
            <w:tcW w:w="2253" w:type="dxa"/>
            <w:tcBorders>
              <w:top w:val="single" w:sz="12" w:space="0" w:color="auto"/>
              <w:left w:val="single" w:sz="12" w:space="0" w:color="auto"/>
              <w:bottom w:val="nil"/>
              <w:right w:val="single" w:sz="12" w:space="0" w:color="auto"/>
            </w:tcBorders>
            <w:shd w:val="clear" w:color="auto" w:fill="FAE2D5" w:themeFill="accent2" w:themeFillTint="33"/>
            <w:vAlign w:val="center"/>
          </w:tcPr>
          <w:p w14:paraId="1767B5CE" w14:textId="0B4D9796" w:rsidR="000912A1" w:rsidRPr="004768AC" w:rsidRDefault="000912A1" w:rsidP="00842EB8">
            <w:pPr>
              <w:pStyle w:val="ListParagraph"/>
              <w:ind w:left="0"/>
              <w:jc w:val="center"/>
              <w:rPr>
                <w:rFonts w:ascii="Times New Roman" w:hAnsi="Times New Roman" w:cs="Times New Roman"/>
                <w:sz w:val="20"/>
                <w:szCs w:val="20"/>
              </w:rPr>
            </w:pPr>
            <w:r w:rsidRPr="004768AC">
              <w:rPr>
                <w:rFonts w:ascii="Times New Roman" w:hAnsi="Times New Roman" w:cs="Times New Roman"/>
                <w:sz w:val="20"/>
                <w:szCs w:val="20"/>
              </w:rPr>
              <w:t>40-49 godina</w:t>
            </w:r>
          </w:p>
        </w:tc>
        <w:tc>
          <w:tcPr>
            <w:tcW w:w="2254" w:type="dxa"/>
            <w:tcBorders>
              <w:top w:val="single" w:sz="12" w:space="0" w:color="auto"/>
              <w:left w:val="single" w:sz="12" w:space="0" w:color="auto"/>
              <w:bottom w:val="nil"/>
              <w:right w:val="single" w:sz="12" w:space="0" w:color="auto"/>
            </w:tcBorders>
            <w:shd w:val="clear" w:color="auto" w:fill="FAE2D5" w:themeFill="accent2" w:themeFillTint="33"/>
            <w:vAlign w:val="center"/>
          </w:tcPr>
          <w:p w14:paraId="00B66A05" w14:textId="21894F44" w:rsidR="000912A1" w:rsidRPr="004768AC" w:rsidRDefault="000912A1" w:rsidP="00842EB8">
            <w:pPr>
              <w:pStyle w:val="ListParagraph"/>
              <w:ind w:left="0"/>
              <w:jc w:val="center"/>
              <w:rPr>
                <w:rFonts w:ascii="Times New Roman" w:hAnsi="Times New Roman" w:cs="Times New Roman"/>
                <w:sz w:val="20"/>
                <w:szCs w:val="20"/>
              </w:rPr>
            </w:pPr>
            <w:r w:rsidRPr="004768AC">
              <w:rPr>
                <w:rFonts w:ascii="Times New Roman" w:hAnsi="Times New Roman" w:cs="Times New Roman"/>
                <w:sz w:val="20"/>
                <w:szCs w:val="20"/>
              </w:rPr>
              <w:t>30-39 godina</w:t>
            </w:r>
          </w:p>
        </w:tc>
        <w:tc>
          <w:tcPr>
            <w:tcW w:w="2255" w:type="dxa"/>
            <w:tcBorders>
              <w:top w:val="single" w:sz="12" w:space="0" w:color="auto"/>
              <w:left w:val="single" w:sz="12" w:space="0" w:color="auto"/>
              <w:bottom w:val="nil"/>
              <w:right w:val="single" w:sz="12" w:space="0" w:color="auto"/>
            </w:tcBorders>
            <w:shd w:val="clear" w:color="auto" w:fill="FAE2D5" w:themeFill="accent2" w:themeFillTint="33"/>
            <w:vAlign w:val="center"/>
          </w:tcPr>
          <w:p w14:paraId="710DEE8C" w14:textId="64E78940" w:rsidR="000912A1" w:rsidRPr="004768AC" w:rsidRDefault="000912A1" w:rsidP="00842EB8">
            <w:pPr>
              <w:pStyle w:val="ListParagraph"/>
              <w:ind w:left="0"/>
              <w:jc w:val="center"/>
              <w:rPr>
                <w:rFonts w:ascii="Times New Roman" w:hAnsi="Times New Roman" w:cs="Times New Roman"/>
                <w:sz w:val="20"/>
                <w:szCs w:val="20"/>
              </w:rPr>
            </w:pPr>
            <w:r w:rsidRPr="004768AC">
              <w:rPr>
                <w:rFonts w:ascii="Times New Roman" w:hAnsi="Times New Roman" w:cs="Times New Roman"/>
                <w:sz w:val="20"/>
                <w:szCs w:val="20"/>
              </w:rPr>
              <w:t>Manje od 29 godina</w:t>
            </w:r>
          </w:p>
        </w:tc>
      </w:tr>
      <w:tr w:rsidR="000912A1" w:rsidRPr="004768AC" w14:paraId="78ECCD5D" w14:textId="77777777" w:rsidTr="00842EB8">
        <w:trPr>
          <w:trHeight w:val="166"/>
        </w:trPr>
        <w:tc>
          <w:tcPr>
            <w:tcW w:w="2253" w:type="dxa"/>
            <w:tcBorders>
              <w:top w:val="nil"/>
              <w:left w:val="single" w:sz="12" w:space="0" w:color="auto"/>
              <w:bottom w:val="single" w:sz="12" w:space="0" w:color="auto"/>
              <w:right w:val="single" w:sz="12" w:space="0" w:color="auto"/>
            </w:tcBorders>
            <w:shd w:val="clear" w:color="auto" w:fill="F1A983" w:themeFill="accent2" w:themeFillTint="99"/>
            <w:vAlign w:val="center"/>
          </w:tcPr>
          <w:p w14:paraId="1D165524" w14:textId="429E03D2" w:rsidR="000912A1" w:rsidRPr="004768AC" w:rsidRDefault="000912A1" w:rsidP="00842EB8">
            <w:pPr>
              <w:pStyle w:val="ListParagraph"/>
              <w:ind w:left="0"/>
              <w:jc w:val="center"/>
              <w:rPr>
                <w:rFonts w:ascii="Times New Roman" w:hAnsi="Times New Roman" w:cs="Times New Roman"/>
                <w:sz w:val="20"/>
                <w:szCs w:val="20"/>
              </w:rPr>
            </w:pPr>
            <w:r w:rsidRPr="004768AC">
              <w:rPr>
                <w:rFonts w:ascii="Times New Roman" w:hAnsi="Times New Roman" w:cs="Times New Roman"/>
                <w:sz w:val="20"/>
                <w:szCs w:val="20"/>
              </w:rPr>
              <w:t>30 bodova</w:t>
            </w:r>
          </w:p>
        </w:tc>
        <w:tc>
          <w:tcPr>
            <w:tcW w:w="2253" w:type="dxa"/>
            <w:tcBorders>
              <w:top w:val="nil"/>
              <w:left w:val="single" w:sz="12" w:space="0" w:color="auto"/>
              <w:bottom w:val="single" w:sz="12" w:space="0" w:color="auto"/>
              <w:right w:val="single" w:sz="12" w:space="0" w:color="auto"/>
            </w:tcBorders>
            <w:shd w:val="clear" w:color="auto" w:fill="F1A983" w:themeFill="accent2" w:themeFillTint="99"/>
            <w:vAlign w:val="center"/>
          </w:tcPr>
          <w:p w14:paraId="7CCD17E5" w14:textId="0CD9EBE0" w:rsidR="000912A1" w:rsidRPr="004768AC" w:rsidRDefault="000912A1" w:rsidP="00842EB8">
            <w:pPr>
              <w:pStyle w:val="ListParagraph"/>
              <w:ind w:left="0"/>
              <w:jc w:val="center"/>
              <w:rPr>
                <w:rFonts w:ascii="Times New Roman" w:hAnsi="Times New Roman" w:cs="Times New Roman"/>
                <w:sz w:val="20"/>
                <w:szCs w:val="20"/>
              </w:rPr>
            </w:pPr>
            <w:r w:rsidRPr="004768AC">
              <w:rPr>
                <w:rFonts w:ascii="Times New Roman" w:hAnsi="Times New Roman" w:cs="Times New Roman"/>
                <w:sz w:val="20"/>
                <w:szCs w:val="20"/>
              </w:rPr>
              <w:t>20 bodova</w:t>
            </w:r>
          </w:p>
        </w:tc>
        <w:tc>
          <w:tcPr>
            <w:tcW w:w="2254" w:type="dxa"/>
            <w:tcBorders>
              <w:top w:val="nil"/>
              <w:left w:val="single" w:sz="12" w:space="0" w:color="auto"/>
              <w:bottom w:val="single" w:sz="12" w:space="0" w:color="auto"/>
              <w:right w:val="single" w:sz="12" w:space="0" w:color="auto"/>
            </w:tcBorders>
            <w:shd w:val="clear" w:color="auto" w:fill="F1A983" w:themeFill="accent2" w:themeFillTint="99"/>
            <w:vAlign w:val="center"/>
          </w:tcPr>
          <w:p w14:paraId="631AB9E1" w14:textId="6203F106" w:rsidR="000912A1" w:rsidRPr="004768AC" w:rsidRDefault="000912A1" w:rsidP="00842EB8">
            <w:pPr>
              <w:pStyle w:val="ListParagraph"/>
              <w:ind w:left="0"/>
              <w:jc w:val="center"/>
              <w:rPr>
                <w:rFonts w:ascii="Times New Roman" w:hAnsi="Times New Roman" w:cs="Times New Roman"/>
                <w:sz w:val="20"/>
                <w:szCs w:val="20"/>
              </w:rPr>
            </w:pPr>
            <w:r w:rsidRPr="004768AC">
              <w:rPr>
                <w:rFonts w:ascii="Times New Roman" w:hAnsi="Times New Roman" w:cs="Times New Roman"/>
                <w:sz w:val="20"/>
                <w:szCs w:val="20"/>
              </w:rPr>
              <w:t>10 bodova</w:t>
            </w:r>
          </w:p>
        </w:tc>
        <w:tc>
          <w:tcPr>
            <w:tcW w:w="2255" w:type="dxa"/>
            <w:tcBorders>
              <w:top w:val="nil"/>
              <w:left w:val="single" w:sz="12" w:space="0" w:color="auto"/>
              <w:bottom w:val="single" w:sz="12" w:space="0" w:color="auto"/>
              <w:right w:val="single" w:sz="12" w:space="0" w:color="auto"/>
            </w:tcBorders>
            <w:shd w:val="clear" w:color="auto" w:fill="F1A983" w:themeFill="accent2" w:themeFillTint="99"/>
            <w:vAlign w:val="center"/>
          </w:tcPr>
          <w:p w14:paraId="1359D92A" w14:textId="4BBC862B" w:rsidR="000912A1" w:rsidRPr="004768AC" w:rsidRDefault="000912A1" w:rsidP="00842EB8">
            <w:pPr>
              <w:pStyle w:val="ListParagraph"/>
              <w:ind w:left="0"/>
              <w:jc w:val="center"/>
              <w:rPr>
                <w:rFonts w:ascii="Times New Roman" w:hAnsi="Times New Roman" w:cs="Times New Roman"/>
                <w:sz w:val="20"/>
                <w:szCs w:val="20"/>
              </w:rPr>
            </w:pPr>
            <w:r w:rsidRPr="004768AC">
              <w:rPr>
                <w:rFonts w:ascii="Times New Roman" w:hAnsi="Times New Roman" w:cs="Times New Roman"/>
                <w:sz w:val="20"/>
                <w:szCs w:val="20"/>
              </w:rPr>
              <w:t>5 bodova</w:t>
            </w:r>
          </w:p>
        </w:tc>
      </w:tr>
    </w:tbl>
    <w:tbl>
      <w:tblPr>
        <w:tblStyle w:val="TableGrid"/>
        <w:tblpPr w:leftFromText="180" w:rightFromText="180" w:vertAnchor="text" w:horzAnchor="margin" w:tblpY="1305"/>
        <w:tblW w:w="9009" w:type="dxa"/>
        <w:tblLook w:val="04A0" w:firstRow="1" w:lastRow="0" w:firstColumn="1" w:lastColumn="0" w:noHBand="0" w:noVBand="1"/>
      </w:tblPr>
      <w:tblGrid>
        <w:gridCol w:w="3001"/>
        <w:gridCol w:w="3002"/>
        <w:gridCol w:w="3006"/>
      </w:tblGrid>
      <w:tr w:rsidR="00577693" w:rsidRPr="004768AC" w14:paraId="33111A47" w14:textId="77777777" w:rsidTr="00842EB8">
        <w:trPr>
          <w:trHeight w:val="269"/>
        </w:trPr>
        <w:tc>
          <w:tcPr>
            <w:tcW w:w="9009" w:type="dxa"/>
            <w:gridSpan w:val="3"/>
            <w:tcBorders>
              <w:top w:val="single" w:sz="12" w:space="0" w:color="auto"/>
              <w:left w:val="single" w:sz="12" w:space="0" w:color="auto"/>
              <w:bottom w:val="single" w:sz="12" w:space="0" w:color="auto"/>
              <w:right w:val="single" w:sz="12" w:space="0" w:color="auto"/>
            </w:tcBorders>
            <w:vAlign w:val="center"/>
          </w:tcPr>
          <w:p w14:paraId="379A3C89" w14:textId="2157B71A" w:rsidR="00577693" w:rsidRPr="004768AC" w:rsidRDefault="00577693" w:rsidP="00577693">
            <w:pPr>
              <w:pStyle w:val="ListParagraph"/>
              <w:ind w:left="0"/>
              <w:jc w:val="center"/>
              <w:rPr>
                <w:rFonts w:ascii="Times New Roman" w:hAnsi="Times New Roman" w:cs="Times New Roman"/>
                <w:sz w:val="20"/>
                <w:szCs w:val="20"/>
              </w:rPr>
            </w:pPr>
            <w:r w:rsidRPr="004768AC">
              <w:rPr>
                <w:rFonts w:ascii="Times New Roman" w:hAnsi="Times New Roman" w:cs="Times New Roman"/>
                <w:sz w:val="20"/>
                <w:szCs w:val="20"/>
              </w:rPr>
              <w:t>UČEŠĆE STANARA U SUFINANSIRANJU (max. 30 bodova)</w:t>
            </w:r>
          </w:p>
        </w:tc>
      </w:tr>
      <w:tr w:rsidR="00577693" w:rsidRPr="004768AC" w14:paraId="2E1B41DC" w14:textId="77777777" w:rsidTr="00577693">
        <w:trPr>
          <w:trHeight w:val="253"/>
        </w:trPr>
        <w:tc>
          <w:tcPr>
            <w:tcW w:w="3001" w:type="dxa"/>
            <w:tcBorders>
              <w:top w:val="single" w:sz="12" w:space="0" w:color="auto"/>
              <w:left w:val="single" w:sz="12" w:space="0" w:color="auto"/>
              <w:bottom w:val="nil"/>
              <w:right w:val="single" w:sz="12" w:space="0" w:color="auto"/>
            </w:tcBorders>
            <w:shd w:val="clear" w:color="auto" w:fill="FAE2D5" w:themeFill="accent2" w:themeFillTint="33"/>
            <w:vAlign w:val="center"/>
          </w:tcPr>
          <w:p w14:paraId="3229ECB6" w14:textId="77777777" w:rsidR="00577693" w:rsidRPr="004768AC" w:rsidRDefault="00577693" w:rsidP="00577693">
            <w:pPr>
              <w:pStyle w:val="ListParagraph"/>
              <w:ind w:left="0"/>
              <w:jc w:val="center"/>
              <w:rPr>
                <w:rFonts w:ascii="Times New Roman" w:hAnsi="Times New Roman" w:cs="Times New Roman"/>
                <w:sz w:val="20"/>
                <w:szCs w:val="20"/>
              </w:rPr>
            </w:pPr>
            <w:r w:rsidRPr="004768AC">
              <w:rPr>
                <w:rFonts w:ascii="Times New Roman" w:hAnsi="Times New Roman" w:cs="Times New Roman"/>
                <w:sz w:val="20"/>
                <w:szCs w:val="20"/>
              </w:rPr>
              <w:t>50-60%</w:t>
            </w:r>
          </w:p>
        </w:tc>
        <w:tc>
          <w:tcPr>
            <w:tcW w:w="3002" w:type="dxa"/>
            <w:tcBorders>
              <w:top w:val="single" w:sz="12" w:space="0" w:color="auto"/>
              <w:left w:val="single" w:sz="12" w:space="0" w:color="auto"/>
              <w:bottom w:val="nil"/>
              <w:right w:val="single" w:sz="12" w:space="0" w:color="auto"/>
            </w:tcBorders>
            <w:shd w:val="clear" w:color="auto" w:fill="FAE2D5" w:themeFill="accent2" w:themeFillTint="33"/>
            <w:vAlign w:val="center"/>
          </w:tcPr>
          <w:p w14:paraId="0D6AD092" w14:textId="77777777" w:rsidR="00577693" w:rsidRPr="004768AC" w:rsidRDefault="00577693" w:rsidP="00577693">
            <w:pPr>
              <w:pStyle w:val="ListParagraph"/>
              <w:ind w:left="0"/>
              <w:jc w:val="center"/>
              <w:rPr>
                <w:rFonts w:ascii="Times New Roman" w:hAnsi="Times New Roman" w:cs="Times New Roman"/>
                <w:sz w:val="20"/>
                <w:szCs w:val="20"/>
              </w:rPr>
            </w:pPr>
            <w:r w:rsidRPr="004768AC">
              <w:rPr>
                <w:rFonts w:ascii="Times New Roman" w:hAnsi="Times New Roman" w:cs="Times New Roman"/>
                <w:sz w:val="20"/>
                <w:szCs w:val="20"/>
              </w:rPr>
              <w:t>61-70%</w:t>
            </w:r>
          </w:p>
        </w:tc>
        <w:tc>
          <w:tcPr>
            <w:tcW w:w="3006" w:type="dxa"/>
            <w:tcBorders>
              <w:top w:val="single" w:sz="12" w:space="0" w:color="auto"/>
              <w:left w:val="single" w:sz="12" w:space="0" w:color="auto"/>
              <w:bottom w:val="nil"/>
              <w:right w:val="single" w:sz="12" w:space="0" w:color="auto"/>
            </w:tcBorders>
            <w:shd w:val="clear" w:color="auto" w:fill="FAE2D5" w:themeFill="accent2" w:themeFillTint="33"/>
            <w:vAlign w:val="center"/>
          </w:tcPr>
          <w:p w14:paraId="55D02B55" w14:textId="77777777" w:rsidR="00577693" w:rsidRPr="004768AC" w:rsidRDefault="00577693" w:rsidP="00577693">
            <w:pPr>
              <w:pStyle w:val="ListParagraph"/>
              <w:ind w:left="0"/>
              <w:jc w:val="center"/>
              <w:rPr>
                <w:rFonts w:ascii="Times New Roman" w:hAnsi="Times New Roman" w:cs="Times New Roman"/>
                <w:sz w:val="20"/>
                <w:szCs w:val="20"/>
              </w:rPr>
            </w:pPr>
            <w:r w:rsidRPr="004768AC">
              <w:rPr>
                <w:rFonts w:ascii="Times New Roman" w:hAnsi="Times New Roman" w:cs="Times New Roman"/>
                <w:sz w:val="20"/>
                <w:szCs w:val="20"/>
              </w:rPr>
              <w:t>71-80%</w:t>
            </w:r>
          </w:p>
        </w:tc>
      </w:tr>
      <w:tr w:rsidR="00577693" w:rsidRPr="004768AC" w14:paraId="3BF07BB2" w14:textId="77777777" w:rsidTr="00577693">
        <w:trPr>
          <w:trHeight w:val="159"/>
        </w:trPr>
        <w:tc>
          <w:tcPr>
            <w:tcW w:w="3001" w:type="dxa"/>
            <w:tcBorders>
              <w:top w:val="nil"/>
              <w:left w:val="single" w:sz="12" w:space="0" w:color="auto"/>
              <w:bottom w:val="single" w:sz="12" w:space="0" w:color="auto"/>
              <w:right w:val="single" w:sz="12" w:space="0" w:color="auto"/>
            </w:tcBorders>
            <w:shd w:val="clear" w:color="auto" w:fill="F1A983" w:themeFill="accent2" w:themeFillTint="99"/>
            <w:vAlign w:val="center"/>
          </w:tcPr>
          <w:p w14:paraId="66BA5090" w14:textId="77777777" w:rsidR="00577693" w:rsidRPr="004768AC" w:rsidRDefault="00577693" w:rsidP="00577693">
            <w:pPr>
              <w:pStyle w:val="ListParagraph"/>
              <w:ind w:left="0"/>
              <w:jc w:val="center"/>
              <w:rPr>
                <w:rFonts w:ascii="Times New Roman" w:hAnsi="Times New Roman" w:cs="Times New Roman"/>
                <w:sz w:val="20"/>
                <w:szCs w:val="20"/>
              </w:rPr>
            </w:pPr>
            <w:r w:rsidRPr="004768AC">
              <w:rPr>
                <w:rFonts w:ascii="Times New Roman" w:hAnsi="Times New Roman" w:cs="Times New Roman"/>
                <w:sz w:val="20"/>
                <w:szCs w:val="20"/>
              </w:rPr>
              <w:t>10 bodova</w:t>
            </w:r>
          </w:p>
        </w:tc>
        <w:tc>
          <w:tcPr>
            <w:tcW w:w="3002" w:type="dxa"/>
            <w:tcBorders>
              <w:top w:val="nil"/>
              <w:left w:val="single" w:sz="12" w:space="0" w:color="auto"/>
              <w:bottom w:val="single" w:sz="12" w:space="0" w:color="auto"/>
              <w:right w:val="single" w:sz="12" w:space="0" w:color="auto"/>
            </w:tcBorders>
            <w:shd w:val="clear" w:color="auto" w:fill="F1A983" w:themeFill="accent2" w:themeFillTint="99"/>
            <w:vAlign w:val="center"/>
          </w:tcPr>
          <w:p w14:paraId="14B194A2" w14:textId="77777777" w:rsidR="00577693" w:rsidRPr="004768AC" w:rsidRDefault="00577693" w:rsidP="00577693">
            <w:pPr>
              <w:pStyle w:val="ListParagraph"/>
              <w:ind w:left="0"/>
              <w:jc w:val="center"/>
              <w:rPr>
                <w:rFonts w:ascii="Times New Roman" w:hAnsi="Times New Roman" w:cs="Times New Roman"/>
                <w:sz w:val="20"/>
                <w:szCs w:val="20"/>
              </w:rPr>
            </w:pPr>
            <w:r w:rsidRPr="004768AC">
              <w:rPr>
                <w:rFonts w:ascii="Times New Roman" w:hAnsi="Times New Roman" w:cs="Times New Roman"/>
                <w:sz w:val="20"/>
                <w:szCs w:val="20"/>
              </w:rPr>
              <w:t>20 bodova</w:t>
            </w:r>
          </w:p>
        </w:tc>
        <w:tc>
          <w:tcPr>
            <w:tcW w:w="3006" w:type="dxa"/>
            <w:tcBorders>
              <w:top w:val="nil"/>
              <w:left w:val="single" w:sz="12" w:space="0" w:color="auto"/>
              <w:bottom w:val="single" w:sz="12" w:space="0" w:color="auto"/>
              <w:right w:val="single" w:sz="12" w:space="0" w:color="auto"/>
            </w:tcBorders>
            <w:shd w:val="clear" w:color="auto" w:fill="F1A983" w:themeFill="accent2" w:themeFillTint="99"/>
            <w:vAlign w:val="center"/>
          </w:tcPr>
          <w:p w14:paraId="7B9FC90A" w14:textId="77777777" w:rsidR="00577693" w:rsidRPr="004768AC" w:rsidRDefault="00577693" w:rsidP="00577693">
            <w:pPr>
              <w:pStyle w:val="ListParagraph"/>
              <w:ind w:left="0"/>
              <w:jc w:val="center"/>
              <w:rPr>
                <w:rFonts w:ascii="Times New Roman" w:hAnsi="Times New Roman" w:cs="Times New Roman"/>
                <w:sz w:val="20"/>
                <w:szCs w:val="20"/>
              </w:rPr>
            </w:pPr>
            <w:r w:rsidRPr="004768AC">
              <w:rPr>
                <w:rFonts w:ascii="Times New Roman" w:hAnsi="Times New Roman" w:cs="Times New Roman"/>
                <w:sz w:val="20"/>
                <w:szCs w:val="20"/>
              </w:rPr>
              <w:t>30 bodova</w:t>
            </w:r>
          </w:p>
        </w:tc>
      </w:tr>
    </w:tbl>
    <w:p w14:paraId="79A11A97" w14:textId="6C7F2719" w:rsidR="001067FB" w:rsidRPr="004768AC" w:rsidRDefault="00842EB8" w:rsidP="001067FB">
      <w:pPr>
        <w:shd w:val="clear" w:color="auto" w:fill="FFFFFF"/>
        <w:tabs>
          <w:tab w:val="left" w:pos="0"/>
        </w:tabs>
        <w:spacing w:after="0" w:line="240" w:lineRule="auto"/>
        <w:jc w:val="both"/>
        <w:rPr>
          <w:rFonts w:ascii="Times New Roman" w:eastAsia="Times New Roman" w:hAnsi="Times New Roman" w:cs="Times New Roman"/>
          <w:i/>
          <w:color w:val="FFFFFF"/>
          <w:kern w:val="0"/>
          <w:sz w:val="20"/>
          <w:szCs w:val="20"/>
          <w14:ligatures w14:val="none"/>
        </w:rPr>
      </w:pPr>
      <w:r w:rsidRPr="004768AC">
        <w:rPr>
          <w:rFonts w:ascii="Times New Roman" w:eastAsia="Calibri" w:hAnsi="Times New Roman" w:cs="Times New Roman"/>
          <w:kern w:val="0"/>
          <w14:ligatures w14:val="none"/>
        </w:rPr>
        <w:t>Projekti će se ocjenjivati prema sljedećim kriterijima:</w:t>
      </w:r>
    </w:p>
    <w:p w14:paraId="3166A18F" w14:textId="77777777" w:rsidR="00842EB8" w:rsidRPr="004768AC" w:rsidRDefault="00842EB8" w:rsidP="001067FB">
      <w:pPr>
        <w:shd w:val="clear" w:color="auto" w:fill="FFFFFF"/>
        <w:tabs>
          <w:tab w:val="left" w:pos="0"/>
        </w:tabs>
        <w:spacing w:after="0" w:line="240" w:lineRule="auto"/>
        <w:jc w:val="both"/>
        <w:rPr>
          <w:rFonts w:ascii="Times New Roman" w:eastAsia="Times New Roman" w:hAnsi="Times New Roman" w:cs="Times New Roman"/>
          <w:i/>
          <w:color w:val="000000"/>
          <w:kern w:val="0"/>
          <w:sz w:val="20"/>
          <w:szCs w:val="20"/>
          <w14:ligatures w14:val="none"/>
        </w:rPr>
      </w:pPr>
    </w:p>
    <w:tbl>
      <w:tblPr>
        <w:tblStyle w:val="TableGrid"/>
        <w:tblpPr w:leftFromText="180" w:rightFromText="180" w:vertAnchor="text" w:horzAnchor="margin" w:tblpY="-49"/>
        <w:tblW w:w="0" w:type="auto"/>
        <w:tblLook w:val="04A0" w:firstRow="1" w:lastRow="0" w:firstColumn="1" w:lastColumn="0" w:noHBand="0" w:noVBand="1"/>
      </w:tblPr>
      <w:tblGrid>
        <w:gridCol w:w="1636"/>
        <w:gridCol w:w="1637"/>
        <w:gridCol w:w="1923"/>
        <w:gridCol w:w="1923"/>
        <w:gridCol w:w="1923"/>
      </w:tblGrid>
      <w:tr w:rsidR="00577693" w:rsidRPr="004768AC" w14:paraId="23FCC3C5" w14:textId="77777777" w:rsidTr="00842EB8">
        <w:trPr>
          <w:trHeight w:val="269"/>
        </w:trPr>
        <w:tc>
          <w:tcPr>
            <w:tcW w:w="9062" w:type="dxa"/>
            <w:gridSpan w:val="5"/>
            <w:tcBorders>
              <w:top w:val="single" w:sz="12" w:space="0" w:color="auto"/>
              <w:left w:val="single" w:sz="12" w:space="0" w:color="auto"/>
              <w:bottom w:val="single" w:sz="12" w:space="0" w:color="auto"/>
              <w:right w:val="single" w:sz="12" w:space="0" w:color="auto"/>
            </w:tcBorders>
            <w:vAlign w:val="center"/>
          </w:tcPr>
          <w:p w14:paraId="6681FE11" w14:textId="77777777" w:rsidR="00577693" w:rsidRPr="004768AC" w:rsidRDefault="00577693" w:rsidP="00577693">
            <w:pPr>
              <w:pStyle w:val="ListParagraph"/>
              <w:ind w:left="0"/>
              <w:jc w:val="center"/>
              <w:rPr>
                <w:rFonts w:ascii="Times New Roman" w:hAnsi="Times New Roman" w:cs="Times New Roman"/>
                <w:sz w:val="20"/>
                <w:szCs w:val="20"/>
              </w:rPr>
            </w:pPr>
            <w:r w:rsidRPr="004768AC">
              <w:rPr>
                <w:rFonts w:ascii="Times New Roman" w:hAnsi="Times New Roman" w:cs="Times New Roman"/>
                <w:sz w:val="20"/>
                <w:szCs w:val="20"/>
              </w:rPr>
              <w:t>PROCENAT ZAMIJENJENE STOLARIJE NA FASADNIM OTVORIMA (max. 20 bodova)</w:t>
            </w:r>
          </w:p>
        </w:tc>
      </w:tr>
      <w:tr w:rsidR="00577693" w:rsidRPr="004768AC" w14:paraId="3EBB33A3" w14:textId="77777777" w:rsidTr="00577693">
        <w:trPr>
          <w:trHeight w:val="313"/>
        </w:trPr>
        <w:tc>
          <w:tcPr>
            <w:tcW w:w="1640" w:type="dxa"/>
            <w:tcBorders>
              <w:top w:val="single" w:sz="12" w:space="0" w:color="auto"/>
              <w:left w:val="single" w:sz="12" w:space="0" w:color="auto"/>
              <w:bottom w:val="nil"/>
              <w:right w:val="single" w:sz="12" w:space="0" w:color="auto"/>
            </w:tcBorders>
            <w:shd w:val="clear" w:color="auto" w:fill="FAE2D5" w:themeFill="accent2" w:themeFillTint="33"/>
          </w:tcPr>
          <w:p w14:paraId="32EF2C84" w14:textId="77777777" w:rsidR="00577693" w:rsidRPr="004768AC" w:rsidRDefault="00577693" w:rsidP="00577693">
            <w:pPr>
              <w:pStyle w:val="ListParagraph"/>
              <w:ind w:left="0"/>
              <w:jc w:val="center"/>
              <w:rPr>
                <w:rFonts w:ascii="Times New Roman" w:hAnsi="Times New Roman" w:cs="Times New Roman"/>
                <w:sz w:val="20"/>
                <w:szCs w:val="20"/>
              </w:rPr>
            </w:pPr>
            <w:r w:rsidRPr="004768AC">
              <w:rPr>
                <w:rFonts w:ascii="Times New Roman" w:hAnsi="Times New Roman" w:cs="Times New Roman"/>
                <w:sz w:val="20"/>
                <w:szCs w:val="20"/>
              </w:rPr>
              <w:t>Manje od 50%</w:t>
            </w:r>
          </w:p>
        </w:tc>
        <w:tc>
          <w:tcPr>
            <w:tcW w:w="1641" w:type="dxa"/>
            <w:tcBorders>
              <w:top w:val="single" w:sz="12" w:space="0" w:color="auto"/>
              <w:left w:val="single" w:sz="12" w:space="0" w:color="auto"/>
              <w:bottom w:val="nil"/>
              <w:right w:val="single" w:sz="12" w:space="0" w:color="auto"/>
            </w:tcBorders>
            <w:shd w:val="clear" w:color="auto" w:fill="FAE2D5" w:themeFill="accent2" w:themeFillTint="33"/>
          </w:tcPr>
          <w:p w14:paraId="1C8B9687" w14:textId="77777777" w:rsidR="00577693" w:rsidRPr="004768AC" w:rsidRDefault="00577693" w:rsidP="00577693">
            <w:pPr>
              <w:pStyle w:val="ListParagraph"/>
              <w:ind w:left="0"/>
              <w:jc w:val="center"/>
              <w:rPr>
                <w:rFonts w:ascii="Times New Roman" w:hAnsi="Times New Roman" w:cs="Times New Roman"/>
                <w:sz w:val="20"/>
                <w:szCs w:val="20"/>
              </w:rPr>
            </w:pPr>
            <w:r w:rsidRPr="004768AC">
              <w:rPr>
                <w:rFonts w:ascii="Times New Roman" w:hAnsi="Times New Roman" w:cs="Times New Roman"/>
                <w:sz w:val="20"/>
                <w:szCs w:val="20"/>
              </w:rPr>
              <w:t>51-60%</w:t>
            </w:r>
          </w:p>
        </w:tc>
        <w:tc>
          <w:tcPr>
            <w:tcW w:w="1927" w:type="dxa"/>
            <w:tcBorders>
              <w:top w:val="single" w:sz="12" w:space="0" w:color="auto"/>
              <w:left w:val="single" w:sz="12" w:space="0" w:color="auto"/>
              <w:bottom w:val="nil"/>
              <w:right w:val="single" w:sz="12" w:space="0" w:color="auto"/>
            </w:tcBorders>
            <w:shd w:val="clear" w:color="auto" w:fill="FAE2D5" w:themeFill="accent2" w:themeFillTint="33"/>
            <w:vAlign w:val="center"/>
          </w:tcPr>
          <w:p w14:paraId="321A72F7" w14:textId="77777777" w:rsidR="00577693" w:rsidRPr="004768AC" w:rsidRDefault="00577693" w:rsidP="00577693">
            <w:pPr>
              <w:pStyle w:val="ListParagraph"/>
              <w:ind w:left="0"/>
              <w:jc w:val="center"/>
              <w:rPr>
                <w:rFonts w:ascii="Times New Roman" w:hAnsi="Times New Roman" w:cs="Times New Roman"/>
                <w:sz w:val="20"/>
                <w:szCs w:val="20"/>
              </w:rPr>
            </w:pPr>
            <w:r w:rsidRPr="004768AC">
              <w:rPr>
                <w:rFonts w:ascii="Times New Roman" w:hAnsi="Times New Roman" w:cs="Times New Roman"/>
                <w:sz w:val="20"/>
                <w:szCs w:val="20"/>
              </w:rPr>
              <w:t>61-70%</w:t>
            </w:r>
          </w:p>
        </w:tc>
        <w:tc>
          <w:tcPr>
            <w:tcW w:w="1927" w:type="dxa"/>
            <w:tcBorders>
              <w:top w:val="single" w:sz="12" w:space="0" w:color="auto"/>
              <w:left w:val="single" w:sz="12" w:space="0" w:color="auto"/>
              <w:bottom w:val="nil"/>
              <w:right w:val="single" w:sz="12" w:space="0" w:color="auto"/>
            </w:tcBorders>
            <w:shd w:val="clear" w:color="auto" w:fill="FAE2D5" w:themeFill="accent2" w:themeFillTint="33"/>
            <w:vAlign w:val="center"/>
          </w:tcPr>
          <w:p w14:paraId="3BB930DE" w14:textId="77777777" w:rsidR="00577693" w:rsidRPr="004768AC" w:rsidRDefault="00577693" w:rsidP="00577693">
            <w:pPr>
              <w:pStyle w:val="ListParagraph"/>
              <w:ind w:left="0"/>
              <w:jc w:val="center"/>
              <w:rPr>
                <w:rFonts w:ascii="Times New Roman" w:hAnsi="Times New Roman" w:cs="Times New Roman"/>
                <w:sz w:val="20"/>
                <w:szCs w:val="20"/>
              </w:rPr>
            </w:pPr>
            <w:r w:rsidRPr="004768AC">
              <w:rPr>
                <w:rFonts w:ascii="Times New Roman" w:hAnsi="Times New Roman" w:cs="Times New Roman"/>
                <w:sz w:val="20"/>
                <w:szCs w:val="20"/>
              </w:rPr>
              <w:t>71-80%</w:t>
            </w:r>
          </w:p>
        </w:tc>
        <w:tc>
          <w:tcPr>
            <w:tcW w:w="1927" w:type="dxa"/>
            <w:tcBorders>
              <w:top w:val="single" w:sz="12" w:space="0" w:color="auto"/>
              <w:left w:val="single" w:sz="12" w:space="0" w:color="auto"/>
              <w:bottom w:val="nil"/>
              <w:right w:val="single" w:sz="12" w:space="0" w:color="auto"/>
            </w:tcBorders>
            <w:shd w:val="clear" w:color="auto" w:fill="FAE2D5" w:themeFill="accent2" w:themeFillTint="33"/>
            <w:vAlign w:val="center"/>
          </w:tcPr>
          <w:p w14:paraId="4A9484E5" w14:textId="77777777" w:rsidR="00577693" w:rsidRPr="004768AC" w:rsidRDefault="00577693" w:rsidP="00577693">
            <w:pPr>
              <w:pStyle w:val="ListParagraph"/>
              <w:ind w:left="0"/>
              <w:jc w:val="center"/>
              <w:rPr>
                <w:rFonts w:ascii="Times New Roman" w:hAnsi="Times New Roman" w:cs="Times New Roman"/>
                <w:sz w:val="20"/>
                <w:szCs w:val="20"/>
              </w:rPr>
            </w:pPr>
            <w:r w:rsidRPr="004768AC">
              <w:rPr>
                <w:rFonts w:ascii="Times New Roman" w:hAnsi="Times New Roman" w:cs="Times New Roman"/>
                <w:sz w:val="20"/>
                <w:szCs w:val="20"/>
              </w:rPr>
              <w:t>Preko 81%</w:t>
            </w:r>
          </w:p>
        </w:tc>
      </w:tr>
      <w:tr w:rsidR="00577693" w:rsidRPr="004768AC" w14:paraId="0D79C6B8" w14:textId="77777777" w:rsidTr="00577693">
        <w:trPr>
          <w:trHeight w:val="278"/>
        </w:trPr>
        <w:tc>
          <w:tcPr>
            <w:tcW w:w="1640" w:type="dxa"/>
            <w:tcBorders>
              <w:top w:val="nil"/>
              <w:left w:val="single" w:sz="12" w:space="0" w:color="auto"/>
              <w:bottom w:val="single" w:sz="12" w:space="0" w:color="auto"/>
              <w:right w:val="single" w:sz="12" w:space="0" w:color="auto"/>
            </w:tcBorders>
            <w:shd w:val="clear" w:color="auto" w:fill="F1A983" w:themeFill="accent2" w:themeFillTint="99"/>
          </w:tcPr>
          <w:p w14:paraId="2EB8C404" w14:textId="77777777" w:rsidR="00577693" w:rsidRPr="004768AC" w:rsidRDefault="00577693" w:rsidP="00577693">
            <w:pPr>
              <w:pStyle w:val="ListParagraph"/>
              <w:ind w:left="0"/>
              <w:jc w:val="center"/>
              <w:rPr>
                <w:rFonts w:ascii="Times New Roman" w:hAnsi="Times New Roman" w:cs="Times New Roman"/>
                <w:sz w:val="20"/>
                <w:szCs w:val="20"/>
              </w:rPr>
            </w:pPr>
            <w:r w:rsidRPr="004768AC">
              <w:rPr>
                <w:rFonts w:ascii="Times New Roman" w:hAnsi="Times New Roman" w:cs="Times New Roman"/>
                <w:sz w:val="20"/>
                <w:szCs w:val="20"/>
              </w:rPr>
              <w:t>0 bodova</w:t>
            </w:r>
          </w:p>
        </w:tc>
        <w:tc>
          <w:tcPr>
            <w:tcW w:w="1641" w:type="dxa"/>
            <w:tcBorders>
              <w:top w:val="nil"/>
              <w:left w:val="single" w:sz="12" w:space="0" w:color="auto"/>
              <w:bottom w:val="single" w:sz="12" w:space="0" w:color="auto"/>
              <w:right w:val="single" w:sz="12" w:space="0" w:color="auto"/>
            </w:tcBorders>
            <w:shd w:val="clear" w:color="auto" w:fill="F1A983" w:themeFill="accent2" w:themeFillTint="99"/>
          </w:tcPr>
          <w:p w14:paraId="01449217" w14:textId="77777777" w:rsidR="00577693" w:rsidRPr="004768AC" w:rsidRDefault="00577693" w:rsidP="00577693">
            <w:pPr>
              <w:pStyle w:val="ListParagraph"/>
              <w:ind w:left="0"/>
              <w:jc w:val="center"/>
              <w:rPr>
                <w:rFonts w:ascii="Times New Roman" w:hAnsi="Times New Roman" w:cs="Times New Roman"/>
                <w:sz w:val="20"/>
                <w:szCs w:val="20"/>
              </w:rPr>
            </w:pPr>
            <w:r w:rsidRPr="004768AC">
              <w:rPr>
                <w:rFonts w:ascii="Times New Roman" w:hAnsi="Times New Roman" w:cs="Times New Roman"/>
                <w:sz w:val="20"/>
                <w:szCs w:val="20"/>
              </w:rPr>
              <w:t>5 bodova</w:t>
            </w:r>
          </w:p>
        </w:tc>
        <w:tc>
          <w:tcPr>
            <w:tcW w:w="1927" w:type="dxa"/>
            <w:tcBorders>
              <w:top w:val="nil"/>
              <w:left w:val="single" w:sz="12" w:space="0" w:color="auto"/>
              <w:bottom w:val="single" w:sz="12" w:space="0" w:color="auto"/>
              <w:right w:val="single" w:sz="12" w:space="0" w:color="auto"/>
            </w:tcBorders>
            <w:shd w:val="clear" w:color="auto" w:fill="F1A983" w:themeFill="accent2" w:themeFillTint="99"/>
          </w:tcPr>
          <w:p w14:paraId="3EA53E84" w14:textId="77777777" w:rsidR="00577693" w:rsidRPr="004768AC" w:rsidRDefault="00577693" w:rsidP="00577693">
            <w:pPr>
              <w:pStyle w:val="ListParagraph"/>
              <w:ind w:left="0"/>
              <w:jc w:val="center"/>
              <w:rPr>
                <w:rFonts w:ascii="Times New Roman" w:hAnsi="Times New Roman" w:cs="Times New Roman"/>
                <w:sz w:val="20"/>
                <w:szCs w:val="20"/>
              </w:rPr>
            </w:pPr>
            <w:r w:rsidRPr="004768AC">
              <w:rPr>
                <w:rFonts w:ascii="Times New Roman" w:hAnsi="Times New Roman" w:cs="Times New Roman"/>
                <w:sz w:val="20"/>
                <w:szCs w:val="20"/>
              </w:rPr>
              <w:t>10 bodova</w:t>
            </w:r>
          </w:p>
        </w:tc>
        <w:tc>
          <w:tcPr>
            <w:tcW w:w="1927" w:type="dxa"/>
            <w:tcBorders>
              <w:top w:val="nil"/>
              <w:left w:val="single" w:sz="12" w:space="0" w:color="auto"/>
              <w:bottom w:val="single" w:sz="12" w:space="0" w:color="auto"/>
              <w:right w:val="single" w:sz="12" w:space="0" w:color="auto"/>
            </w:tcBorders>
            <w:shd w:val="clear" w:color="auto" w:fill="F1A983" w:themeFill="accent2" w:themeFillTint="99"/>
          </w:tcPr>
          <w:p w14:paraId="645C36B4" w14:textId="77777777" w:rsidR="00577693" w:rsidRPr="004768AC" w:rsidRDefault="00577693" w:rsidP="00577693">
            <w:pPr>
              <w:pStyle w:val="ListParagraph"/>
              <w:ind w:left="0"/>
              <w:jc w:val="center"/>
              <w:rPr>
                <w:rFonts w:ascii="Times New Roman" w:hAnsi="Times New Roman" w:cs="Times New Roman"/>
                <w:sz w:val="20"/>
                <w:szCs w:val="20"/>
              </w:rPr>
            </w:pPr>
            <w:r w:rsidRPr="004768AC">
              <w:rPr>
                <w:rFonts w:ascii="Times New Roman" w:hAnsi="Times New Roman" w:cs="Times New Roman"/>
                <w:sz w:val="20"/>
                <w:szCs w:val="20"/>
              </w:rPr>
              <w:t>15 bodova</w:t>
            </w:r>
          </w:p>
        </w:tc>
        <w:tc>
          <w:tcPr>
            <w:tcW w:w="1927" w:type="dxa"/>
            <w:tcBorders>
              <w:top w:val="nil"/>
              <w:left w:val="single" w:sz="12" w:space="0" w:color="auto"/>
              <w:bottom w:val="single" w:sz="12" w:space="0" w:color="auto"/>
              <w:right w:val="single" w:sz="12" w:space="0" w:color="auto"/>
            </w:tcBorders>
            <w:shd w:val="clear" w:color="auto" w:fill="F1A983" w:themeFill="accent2" w:themeFillTint="99"/>
          </w:tcPr>
          <w:p w14:paraId="40AB7A25" w14:textId="77777777" w:rsidR="00577693" w:rsidRPr="004768AC" w:rsidRDefault="00577693" w:rsidP="00577693">
            <w:pPr>
              <w:pStyle w:val="ListParagraph"/>
              <w:ind w:left="0"/>
              <w:jc w:val="center"/>
              <w:rPr>
                <w:rFonts w:ascii="Times New Roman" w:hAnsi="Times New Roman" w:cs="Times New Roman"/>
                <w:sz w:val="20"/>
                <w:szCs w:val="20"/>
              </w:rPr>
            </w:pPr>
            <w:r w:rsidRPr="004768AC">
              <w:rPr>
                <w:rFonts w:ascii="Times New Roman" w:hAnsi="Times New Roman" w:cs="Times New Roman"/>
                <w:sz w:val="20"/>
                <w:szCs w:val="20"/>
              </w:rPr>
              <w:t>20 bodova</w:t>
            </w:r>
          </w:p>
        </w:tc>
      </w:tr>
    </w:tbl>
    <w:tbl>
      <w:tblPr>
        <w:tblStyle w:val="TableGrid"/>
        <w:tblpPr w:leftFromText="180" w:rightFromText="180" w:vertAnchor="text" w:horzAnchor="margin" w:tblpY="-56"/>
        <w:tblW w:w="9009" w:type="dxa"/>
        <w:tblLook w:val="04A0" w:firstRow="1" w:lastRow="0" w:firstColumn="1" w:lastColumn="0" w:noHBand="0" w:noVBand="1"/>
      </w:tblPr>
      <w:tblGrid>
        <w:gridCol w:w="4531"/>
        <w:gridCol w:w="4478"/>
      </w:tblGrid>
      <w:tr w:rsidR="00842EB8" w:rsidRPr="004768AC" w14:paraId="5E5BB830" w14:textId="77777777" w:rsidTr="00842EB8">
        <w:trPr>
          <w:trHeight w:val="269"/>
        </w:trPr>
        <w:tc>
          <w:tcPr>
            <w:tcW w:w="9009" w:type="dxa"/>
            <w:gridSpan w:val="2"/>
            <w:tcBorders>
              <w:top w:val="single" w:sz="12" w:space="0" w:color="auto"/>
              <w:left w:val="single" w:sz="12" w:space="0" w:color="auto"/>
              <w:bottom w:val="single" w:sz="12" w:space="0" w:color="auto"/>
              <w:right w:val="single" w:sz="12" w:space="0" w:color="auto"/>
            </w:tcBorders>
            <w:vAlign w:val="center"/>
          </w:tcPr>
          <w:p w14:paraId="22C4436F" w14:textId="03307C6A" w:rsidR="00842EB8" w:rsidRPr="004768AC" w:rsidRDefault="00842EB8" w:rsidP="00842EB8">
            <w:pPr>
              <w:pStyle w:val="ListParagraph"/>
              <w:ind w:left="0"/>
              <w:jc w:val="center"/>
              <w:rPr>
                <w:rFonts w:ascii="Times New Roman" w:hAnsi="Times New Roman" w:cs="Times New Roman"/>
                <w:sz w:val="20"/>
                <w:szCs w:val="20"/>
              </w:rPr>
            </w:pPr>
            <w:r w:rsidRPr="004768AC">
              <w:rPr>
                <w:rFonts w:ascii="Times New Roman" w:hAnsi="Times New Roman" w:cs="Times New Roman"/>
                <w:sz w:val="20"/>
                <w:szCs w:val="20"/>
              </w:rPr>
              <w:t>POSJEDOVANJE ENERGETSKOG AUDITA (max. 5 bodova)</w:t>
            </w:r>
          </w:p>
        </w:tc>
      </w:tr>
      <w:tr w:rsidR="00842EB8" w:rsidRPr="004768AC" w14:paraId="33559D06" w14:textId="77777777" w:rsidTr="00842EB8">
        <w:trPr>
          <w:trHeight w:val="253"/>
        </w:trPr>
        <w:tc>
          <w:tcPr>
            <w:tcW w:w="4531" w:type="dxa"/>
            <w:tcBorders>
              <w:top w:val="single" w:sz="12" w:space="0" w:color="auto"/>
              <w:left w:val="single" w:sz="12" w:space="0" w:color="auto"/>
              <w:bottom w:val="nil"/>
              <w:right w:val="single" w:sz="12" w:space="0" w:color="auto"/>
            </w:tcBorders>
            <w:shd w:val="clear" w:color="auto" w:fill="FAE2D5" w:themeFill="accent2" w:themeFillTint="33"/>
          </w:tcPr>
          <w:p w14:paraId="02247237" w14:textId="3E8B107E" w:rsidR="00842EB8" w:rsidRPr="004768AC" w:rsidRDefault="00842EB8" w:rsidP="00842EB8">
            <w:pPr>
              <w:pStyle w:val="ListParagraph"/>
              <w:ind w:left="0"/>
              <w:jc w:val="center"/>
              <w:rPr>
                <w:rFonts w:ascii="Times New Roman" w:hAnsi="Times New Roman" w:cs="Times New Roman"/>
                <w:sz w:val="20"/>
                <w:szCs w:val="20"/>
              </w:rPr>
            </w:pPr>
            <w:r w:rsidRPr="004768AC">
              <w:rPr>
                <w:rFonts w:ascii="Times New Roman" w:eastAsia="Times New Roman" w:hAnsi="Times New Roman" w:cs="Times New Roman"/>
                <w:bCs/>
                <w:color w:val="000000"/>
                <w:kern w:val="0"/>
                <w:sz w:val="20"/>
                <w:szCs w:val="20"/>
                <w14:ligatures w14:val="none"/>
              </w:rPr>
              <w:t>Aplikant ne posjeduje izrađen energetski audit</w:t>
            </w:r>
          </w:p>
        </w:tc>
        <w:tc>
          <w:tcPr>
            <w:tcW w:w="4478" w:type="dxa"/>
            <w:tcBorders>
              <w:top w:val="single" w:sz="12" w:space="0" w:color="auto"/>
              <w:left w:val="single" w:sz="12" w:space="0" w:color="auto"/>
              <w:bottom w:val="nil"/>
              <w:right w:val="single" w:sz="12" w:space="0" w:color="auto"/>
            </w:tcBorders>
            <w:shd w:val="clear" w:color="auto" w:fill="FAE2D5" w:themeFill="accent2" w:themeFillTint="33"/>
            <w:vAlign w:val="center"/>
          </w:tcPr>
          <w:p w14:paraId="4B3E6280" w14:textId="7CCB9208" w:rsidR="00842EB8" w:rsidRPr="004768AC" w:rsidRDefault="00842EB8" w:rsidP="00842EB8">
            <w:pPr>
              <w:pStyle w:val="ListParagraph"/>
              <w:ind w:left="0"/>
              <w:jc w:val="center"/>
              <w:rPr>
                <w:rFonts w:ascii="Times New Roman" w:hAnsi="Times New Roman" w:cs="Times New Roman"/>
                <w:sz w:val="20"/>
                <w:szCs w:val="20"/>
              </w:rPr>
            </w:pPr>
            <w:r w:rsidRPr="004768AC">
              <w:rPr>
                <w:rFonts w:ascii="Times New Roman" w:eastAsia="Times New Roman" w:hAnsi="Times New Roman" w:cs="Times New Roman"/>
                <w:bCs/>
                <w:color w:val="000000"/>
                <w:kern w:val="0"/>
                <w:sz w:val="20"/>
                <w:szCs w:val="20"/>
                <w14:ligatures w14:val="none"/>
              </w:rPr>
              <w:t>Aplikant posjeduje izrađen energetski audit</w:t>
            </w:r>
          </w:p>
        </w:tc>
      </w:tr>
      <w:tr w:rsidR="00842EB8" w:rsidRPr="004768AC" w14:paraId="39DA2BA6" w14:textId="77777777" w:rsidTr="00842EB8">
        <w:trPr>
          <w:trHeight w:val="159"/>
        </w:trPr>
        <w:tc>
          <w:tcPr>
            <w:tcW w:w="4531" w:type="dxa"/>
            <w:tcBorders>
              <w:top w:val="nil"/>
              <w:left w:val="single" w:sz="12" w:space="0" w:color="auto"/>
              <w:bottom w:val="single" w:sz="12" w:space="0" w:color="auto"/>
              <w:right w:val="single" w:sz="12" w:space="0" w:color="auto"/>
            </w:tcBorders>
            <w:shd w:val="clear" w:color="auto" w:fill="F1A983" w:themeFill="accent2" w:themeFillTint="99"/>
            <w:vAlign w:val="center"/>
          </w:tcPr>
          <w:p w14:paraId="1CBF583F" w14:textId="1EABF378" w:rsidR="00842EB8" w:rsidRPr="004768AC" w:rsidRDefault="00842EB8" w:rsidP="00842EB8">
            <w:pPr>
              <w:pStyle w:val="ListParagraph"/>
              <w:ind w:left="0"/>
              <w:jc w:val="center"/>
              <w:rPr>
                <w:rFonts w:ascii="Times New Roman" w:hAnsi="Times New Roman" w:cs="Times New Roman"/>
                <w:sz w:val="20"/>
                <w:szCs w:val="20"/>
              </w:rPr>
            </w:pPr>
            <w:r w:rsidRPr="004768AC">
              <w:rPr>
                <w:rFonts w:ascii="Times New Roman" w:hAnsi="Times New Roman" w:cs="Times New Roman"/>
                <w:sz w:val="20"/>
                <w:szCs w:val="20"/>
              </w:rPr>
              <w:t>0 bodova</w:t>
            </w:r>
          </w:p>
        </w:tc>
        <w:tc>
          <w:tcPr>
            <w:tcW w:w="4478" w:type="dxa"/>
            <w:tcBorders>
              <w:top w:val="nil"/>
              <w:left w:val="single" w:sz="12" w:space="0" w:color="auto"/>
              <w:bottom w:val="single" w:sz="12" w:space="0" w:color="auto"/>
              <w:right w:val="single" w:sz="12" w:space="0" w:color="auto"/>
            </w:tcBorders>
            <w:shd w:val="clear" w:color="auto" w:fill="F1A983" w:themeFill="accent2" w:themeFillTint="99"/>
            <w:vAlign w:val="center"/>
          </w:tcPr>
          <w:p w14:paraId="73A91D69" w14:textId="45369D64" w:rsidR="00842EB8" w:rsidRPr="004768AC" w:rsidRDefault="00842EB8" w:rsidP="00842EB8">
            <w:pPr>
              <w:pStyle w:val="ListParagraph"/>
              <w:ind w:left="0"/>
              <w:jc w:val="center"/>
              <w:rPr>
                <w:rFonts w:ascii="Times New Roman" w:hAnsi="Times New Roman" w:cs="Times New Roman"/>
                <w:sz w:val="20"/>
                <w:szCs w:val="20"/>
              </w:rPr>
            </w:pPr>
            <w:r w:rsidRPr="004768AC">
              <w:rPr>
                <w:rFonts w:ascii="Times New Roman" w:hAnsi="Times New Roman" w:cs="Times New Roman"/>
                <w:sz w:val="20"/>
                <w:szCs w:val="20"/>
              </w:rPr>
              <w:t>5 bodova</w:t>
            </w:r>
          </w:p>
        </w:tc>
      </w:tr>
    </w:tbl>
    <w:tbl>
      <w:tblPr>
        <w:tblStyle w:val="TableGrid"/>
        <w:tblpPr w:leftFromText="180" w:rightFromText="180" w:vertAnchor="text" w:horzAnchor="margin" w:tblpY="-48"/>
        <w:tblW w:w="9009" w:type="dxa"/>
        <w:tblLook w:val="04A0" w:firstRow="1" w:lastRow="0" w:firstColumn="1" w:lastColumn="0" w:noHBand="0" w:noVBand="1"/>
      </w:tblPr>
      <w:tblGrid>
        <w:gridCol w:w="4531"/>
        <w:gridCol w:w="4478"/>
      </w:tblGrid>
      <w:tr w:rsidR="00842EB8" w:rsidRPr="004768AC" w14:paraId="6C9F2997" w14:textId="77777777" w:rsidTr="00842EB8">
        <w:trPr>
          <w:trHeight w:val="269"/>
        </w:trPr>
        <w:tc>
          <w:tcPr>
            <w:tcW w:w="9009" w:type="dxa"/>
            <w:gridSpan w:val="2"/>
            <w:tcBorders>
              <w:top w:val="single" w:sz="12" w:space="0" w:color="auto"/>
              <w:left w:val="single" w:sz="12" w:space="0" w:color="auto"/>
              <w:bottom w:val="single" w:sz="12" w:space="0" w:color="auto"/>
              <w:right w:val="single" w:sz="12" w:space="0" w:color="auto"/>
            </w:tcBorders>
            <w:vAlign w:val="center"/>
          </w:tcPr>
          <w:p w14:paraId="0A6C0241" w14:textId="14B0D943" w:rsidR="00842EB8" w:rsidRPr="004768AC" w:rsidRDefault="00842EB8" w:rsidP="00842EB8">
            <w:pPr>
              <w:pStyle w:val="ListParagraph"/>
              <w:ind w:left="0"/>
              <w:jc w:val="center"/>
              <w:rPr>
                <w:rFonts w:ascii="Times New Roman" w:hAnsi="Times New Roman" w:cs="Times New Roman"/>
                <w:sz w:val="20"/>
                <w:szCs w:val="20"/>
              </w:rPr>
            </w:pPr>
            <w:r w:rsidRPr="004768AC">
              <w:rPr>
                <w:rFonts w:ascii="Times New Roman" w:hAnsi="Times New Roman" w:cs="Times New Roman"/>
                <w:sz w:val="20"/>
                <w:szCs w:val="20"/>
              </w:rPr>
              <w:t>OSIGURANA NOVČANA SREDSTVA (max. 5 bodova)</w:t>
            </w:r>
          </w:p>
        </w:tc>
      </w:tr>
      <w:tr w:rsidR="00842EB8" w:rsidRPr="004768AC" w14:paraId="24F786BD" w14:textId="77777777" w:rsidTr="00842EB8">
        <w:trPr>
          <w:trHeight w:val="253"/>
        </w:trPr>
        <w:tc>
          <w:tcPr>
            <w:tcW w:w="4531" w:type="dxa"/>
            <w:tcBorders>
              <w:top w:val="single" w:sz="12" w:space="0" w:color="auto"/>
              <w:left w:val="single" w:sz="12" w:space="0" w:color="auto"/>
              <w:bottom w:val="nil"/>
              <w:right w:val="single" w:sz="12" w:space="0" w:color="auto"/>
            </w:tcBorders>
            <w:shd w:val="clear" w:color="auto" w:fill="FAE2D5" w:themeFill="accent2" w:themeFillTint="33"/>
          </w:tcPr>
          <w:p w14:paraId="310B659D" w14:textId="3803FE3D" w:rsidR="00842EB8" w:rsidRPr="004768AC" w:rsidRDefault="00842EB8" w:rsidP="00842EB8">
            <w:pPr>
              <w:pStyle w:val="ListParagraph"/>
              <w:ind w:left="0"/>
              <w:jc w:val="center"/>
              <w:rPr>
                <w:rFonts w:ascii="Times New Roman" w:hAnsi="Times New Roman" w:cs="Times New Roman"/>
                <w:sz w:val="20"/>
                <w:szCs w:val="20"/>
              </w:rPr>
            </w:pPr>
            <w:r w:rsidRPr="004768AC">
              <w:rPr>
                <w:rFonts w:ascii="Times New Roman" w:eastAsia="Times New Roman" w:hAnsi="Times New Roman" w:cs="Times New Roman"/>
                <w:bCs/>
                <w:color w:val="000000"/>
                <w:kern w:val="0"/>
                <w:sz w:val="20"/>
                <w:szCs w:val="20"/>
                <w14:ligatures w14:val="none"/>
              </w:rPr>
              <w:t>Aplikant nema osigurana novčana sredstva</w:t>
            </w:r>
          </w:p>
        </w:tc>
        <w:tc>
          <w:tcPr>
            <w:tcW w:w="4478" w:type="dxa"/>
            <w:tcBorders>
              <w:top w:val="single" w:sz="12" w:space="0" w:color="auto"/>
              <w:left w:val="single" w:sz="12" w:space="0" w:color="auto"/>
              <w:bottom w:val="nil"/>
              <w:right w:val="single" w:sz="12" w:space="0" w:color="auto"/>
            </w:tcBorders>
            <w:shd w:val="clear" w:color="auto" w:fill="FAE2D5" w:themeFill="accent2" w:themeFillTint="33"/>
            <w:vAlign w:val="center"/>
          </w:tcPr>
          <w:p w14:paraId="1D461745" w14:textId="7A29E8A1" w:rsidR="00842EB8" w:rsidRPr="004768AC" w:rsidRDefault="00842EB8" w:rsidP="00842EB8">
            <w:pPr>
              <w:pStyle w:val="ListParagraph"/>
              <w:ind w:left="0"/>
              <w:jc w:val="center"/>
              <w:rPr>
                <w:rFonts w:ascii="Times New Roman" w:hAnsi="Times New Roman" w:cs="Times New Roman"/>
                <w:sz w:val="20"/>
                <w:szCs w:val="20"/>
              </w:rPr>
            </w:pPr>
            <w:r w:rsidRPr="004768AC">
              <w:rPr>
                <w:rFonts w:ascii="Times New Roman" w:eastAsia="Times New Roman" w:hAnsi="Times New Roman" w:cs="Times New Roman"/>
                <w:bCs/>
                <w:color w:val="000000"/>
                <w:kern w:val="0"/>
                <w:sz w:val="20"/>
                <w:szCs w:val="20"/>
                <w14:ligatures w14:val="none"/>
              </w:rPr>
              <w:t>Aplikant ima osigurana novčana sredstva</w:t>
            </w:r>
          </w:p>
        </w:tc>
      </w:tr>
      <w:tr w:rsidR="00842EB8" w:rsidRPr="004768AC" w14:paraId="40F69924" w14:textId="77777777" w:rsidTr="00842EB8">
        <w:trPr>
          <w:trHeight w:val="159"/>
        </w:trPr>
        <w:tc>
          <w:tcPr>
            <w:tcW w:w="4531" w:type="dxa"/>
            <w:tcBorders>
              <w:top w:val="nil"/>
              <w:left w:val="single" w:sz="12" w:space="0" w:color="auto"/>
              <w:bottom w:val="single" w:sz="12" w:space="0" w:color="auto"/>
              <w:right w:val="single" w:sz="12" w:space="0" w:color="auto"/>
            </w:tcBorders>
            <w:shd w:val="clear" w:color="auto" w:fill="F1A983" w:themeFill="accent2" w:themeFillTint="99"/>
            <w:vAlign w:val="center"/>
          </w:tcPr>
          <w:p w14:paraId="46F8BDE0" w14:textId="77777777" w:rsidR="00842EB8" w:rsidRPr="004768AC" w:rsidRDefault="00842EB8" w:rsidP="00842EB8">
            <w:pPr>
              <w:pStyle w:val="ListParagraph"/>
              <w:ind w:left="0"/>
              <w:jc w:val="center"/>
              <w:rPr>
                <w:rFonts w:ascii="Times New Roman" w:hAnsi="Times New Roman" w:cs="Times New Roman"/>
                <w:sz w:val="20"/>
                <w:szCs w:val="20"/>
              </w:rPr>
            </w:pPr>
            <w:r w:rsidRPr="004768AC">
              <w:rPr>
                <w:rFonts w:ascii="Times New Roman" w:hAnsi="Times New Roman" w:cs="Times New Roman"/>
                <w:sz w:val="20"/>
                <w:szCs w:val="20"/>
              </w:rPr>
              <w:t>0 bodova</w:t>
            </w:r>
          </w:p>
        </w:tc>
        <w:tc>
          <w:tcPr>
            <w:tcW w:w="4478" w:type="dxa"/>
            <w:tcBorders>
              <w:top w:val="nil"/>
              <w:left w:val="single" w:sz="12" w:space="0" w:color="auto"/>
              <w:bottom w:val="single" w:sz="12" w:space="0" w:color="auto"/>
              <w:right w:val="single" w:sz="12" w:space="0" w:color="auto"/>
            </w:tcBorders>
            <w:shd w:val="clear" w:color="auto" w:fill="F1A983" w:themeFill="accent2" w:themeFillTint="99"/>
            <w:vAlign w:val="center"/>
          </w:tcPr>
          <w:p w14:paraId="4F992393" w14:textId="77777777" w:rsidR="00842EB8" w:rsidRPr="004768AC" w:rsidRDefault="00842EB8" w:rsidP="00842EB8">
            <w:pPr>
              <w:pStyle w:val="ListParagraph"/>
              <w:ind w:left="0"/>
              <w:jc w:val="center"/>
              <w:rPr>
                <w:rFonts w:ascii="Times New Roman" w:hAnsi="Times New Roman" w:cs="Times New Roman"/>
                <w:sz w:val="20"/>
                <w:szCs w:val="20"/>
              </w:rPr>
            </w:pPr>
            <w:r w:rsidRPr="004768AC">
              <w:rPr>
                <w:rFonts w:ascii="Times New Roman" w:hAnsi="Times New Roman" w:cs="Times New Roman"/>
                <w:sz w:val="20"/>
                <w:szCs w:val="20"/>
              </w:rPr>
              <w:t>5 bodova</w:t>
            </w:r>
          </w:p>
        </w:tc>
      </w:tr>
    </w:tbl>
    <w:p w14:paraId="56C4A42E" w14:textId="317B423C" w:rsidR="00A45C20" w:rsidRPr="004768AC" w:rsidRDefault="00A45C20" w:rsidP="00842EB8">
      <w:pPr>
        <w:shd w:val="clear" w:color="auto" w:fill="FFFFFF"/>
        <w:tabs>
          <w:tab w:val="left" w:pos="0"/>
        </w:tabs>
        <w:spacing w:after="0" w:line="240" w:lineRule="auto"/>
        <w:jc w:val="both"/>
        <w:rPr>
          <w:rFonts w:ascii="Times New Roman" w:eastAsia="Times New Roman" w:hAnsi="Times New Roman" w:cs="Times New Roman"/>
          <w:bCs/>
          <w:color w:val="000000"/>
          <w:kern w:val="0"/>
          <w14:ligatures w14:val="none"/>
        </w:rPr>
      </w:pPr>
      <w:r w:rsidRPr="004768AC">
        <w:rPr>
          <w:rFonts w:ascii="Times New Roman" w:eastAsia="Times New Roman" w:hAnsi="Times New Roman" w:cs="Times New Roman"/>
          <w:bCs/>
          <w:color w:val="000000"/>
          <w:kern w:val="0"/>
          <w14:ligatures w14:val="none"/>
        </w:rPr>
        <w:lastRenderedPageBreak/>
        <w:t>(Dokazuje se izvodom sa podračuna ili izjavom odgovorne osobe ovjerenom od strane Službe za opću upravu ili notara).</w:t>
      </w:r>
    </w:p>
    <w:p w14:paraId="50DB54B9" w14:textId="77777777" w:rsidR="00A45C20" w:rsidRPr="004768AC" w:rsidRDefault="00A45C20" w:rsidP="000912A1">
      <w:pPr>
        <w:numPr>
          <w:ilvl w:val="0"/>
          <w:numId w:val="4"/>
        </w:numPr>
        <w:spacing w:after="0" w:line="276" w:lineRule="auto"/>
        <w:ind w:left="714" w:hanging="357"/>
        <w:contextualSpacing/>
        <w:jc w:val="both"/>
        <w:rPr>
          <w:rFonts w:ascii="Times New Roman" w:eastAsia="Times New Roman" w:hAnsi="Times New Roman" w:cs="Times New Roman"/>
          <w:bCs/>
          <w:color w:val="000000"/>
          <w:kern w:val="0"/>
          <w14:ligatures w14:val="none"/>
        </w:rPr>
      </w:pPr>
    </w:p>
    <w:p w14:paraId="094E1926" w14:textId="77777777" w:rsidR="00A45C20" w:rsidRPr="004768AC" w:rsidRDefault="00A45C20" w:rsidP="008B1022">
      <w:pPr>
        <w:numPr>
          <w:ilvl w:val="0"/>
          <w:numId w:val="4"/>
        </w:numPr>
        <w:tabs>
          <w:tab w:val="clear" w:pos="720"/>
          <w:tab w:val="num" w:pos="357"/>
        </w:tabs>
        <w:spacing w:after="0" w:line="276" w:lineRule="auto"/>
        <w:ind w:left="0" w:hanging="357"/>
        <w:contextualSpacing/>
        <w:jc w:val="both"/>
        <w:rPr>
          <w:rFonts w:ascii="Times New Roman" w:eastAsia="Times New Roman" w:hAnsi="Times New Roman" w:cs="Times New Roman"/>
          <w:bCs/>
          <w:color w:val="000000"/>
          <w:kern w:val="0"/>
          <w14:ligatures w14:val="none"/>
        </w:rPr>
      </w:pPr>
      <w:r w:rsidRPr="004768AC">
        <w:rPr>
          <w:rFonts w:ascii="Times New Roman" w:eastAsia="Times New Roman" w:hAnsi="Times New Roman" w:cs="Times New Roman"/>
          <w:bCs/>
          <w:color w:val="000000"/>
          <w:kern w:val="0"/>
          <w14:ligatures w14:val="none"/>
        </w:rPr>
        <w:t xml:space="preserve"> </w:t>
      </w:r>
      <w:r w:rsidRPr="004768AC">
        <w:rPr>
          <w:rFonts w:ascii="Times New Roman" w:eastAsia="Times New Roman" w:hAnsi="Times New Roman" w:cs="Times New Roman"/>
          <w:bCs/>
          <w:color w:val="000000"/>
          <w:kern w:val="0"/>
          <w:u w:val="single"/>
          <w14:ligatures w14:val="none"/>
        </w:rPr>
        <w:t xml:space="preserve">Dodatni kriteriji po LOT-ovima: </w:t>
      </w:r>
    </w:p>
    <w:tbl>
      <w:tblPr>
        <w:tblStyle w:val="TableGrid1"/>
        <w:tblW w:w="92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4530"/>
      </w:tblGrid>
      <w:tr w:rsidR="00A45C20" w:rsidRPr="004768AC" w14:paraId="71F1D482" w14:textId="77777777" w:rsidTr="008B1022">
        <w:tc>
          <w:tcPr>
            <w:tcW w:w="4678" w:type="dxa"/>
            <w:hideMark/>
          </w:tcPr>
          <w:p w14:paraId="1427756A" w14:textId="102D3468" w:rsidR="00A45C20" w:rsidRPr="004768AC" w:rsidRDefault="00A45C20" w:rsidP="008B1022">
            <w:pPr>
              <w:numPr>
                <w:ilvl w:val="0"/>
                <w:numId w:val="4"/>
              </w:numPr>
              <w:tabs>
                <w:tab w:val="clear" w:pos="720"/>
                <w:tab w:val="left" w:pos="0"/>
                <w:tab w:val="num" w:pos="357"/>
              </w:tabs>
              <w:ind w:left="0" w:firstLine="0"/>
              <w:jc w:val="both"/>
              <w:rPr>
                <w:rFonts w:ascii="Times New Roman" w:eastAsia="Times New Roman" w:hAnsi="Times New Roman" w:cs="Times New Roman"/>
              </w:rPr>
            </w:pPr>
            <w:r w:rsidRPr="004768AC">
              <w:rPr>
                <w:rFonts w:ascii="Times New Roman" w:eastAsia="Times New Roman" w:hAnsi="Times New Roman" w:cs="Times New Roman"/>
              </w:rPr>
              <w:t xml:space="preserve">LOT 1 </w:t>
            </w:r>
          </w:p>
        </w:tc>
        <w:tc>
          <w:tcPr>
            <w:tcW w:w="4530" w:type="dxa"/>
            <w:hideMark/>
          </w:tcPr>
          <w:p w14:paraId="48D0163C" w14:textId="190FBF6A" w:rsidR="00A45C20" w:rsidRPr="004768AC" w:rsidRDefault="00A45C20" w:rsidP="008B1022">
            <w:pPr>
              <w:tabs>
                <w:tab w:val="left" w:pos="0"/>
                <w:tab w:val="num" w:pos="357"/>
              </w:tabs>
              <w:jc w:val="both"/>
              <w:rPr>
                <w:rFonts w:ascii="Times New Roman" w:eastAsia="Times New Roman" w:hAnsi="Times New Roman" w:cs="Times New Roman"/>
              </w:rPr>
            </w:pPr>
            <w:r w:rsidRPr="004768AC">
              <w:rPr>
                <w:rFonts w:ascii="Times New Roman" w:eastAsia="Times New Roman" w:hAnsi="Times New Roman" w:cs="Times New Roman"/>
              </w:rPr>
              <w:t xml:space="preserve">         LOT 2/LOT3</w:t>
            </w:r>
          </w:p>
        </w:tc>
      </w:tr>
      <w:tr w:rsidR="00A45C20" w:rsidRPr="004768AC" w14:paraId="4F65173B" w14:textId="77777777" w:rsidTr="008B1022">
        <w:tc>
          <w:tcPr>
            <w:tcW w:w="4678" w:type="dxa"/>
          </w:tcPr>
          <w:p w14:paraId="657281D3" w14:textId="77777777" w:rsidR="00A45C20" w:rsidRPr="004768AC" w:rsidRDefault="00A45C20" w:rsidP="008B1022">
            <w:pPr>
              <w:numPr>
                <w:ilvl w:val="0"/>
                <w:numId w:val="4"/>
              </w:numPr>
              <w:tabs>
                <w:tab w:val="clear" w:pos="720"/>
                <w:tab w:val="left" w:pos="0"/>
                <w:tab w:val="num" w:pos="357"/>
              </w:tabs>
              <w:ind w:left="321"/>
              <w:jc w:val="both"/>
              <w:rPr>
                <w:rFonts w:ascii="Times New Roman" w:eastAsia="Times New Roman" w:hAnsi="Times New Roman" w:cs="Times New Roman"/>
              </w:rPr>
            </w:pPr>
            <w:r w:rsidRPr="004768AC">
              <w:rPr>
                <w:rFonts w:ascii="Times New Roman" w:eastAsia="Times New Roman" w:hAnsi="Times New Roman" w:cs="Times New Roman"/>
              </w:rPr>
              <w:t>-</w:t>
            </w:r>
            <w:r w:rsidRPr="004768AC">
              <w:rPr>
                <w:rFonts w:ascii="Times New Roman" w:eastAsia="Times New Roman" w:hAnsi="Times New Roman" w:cs="Times New Roman"/>
                <w:i/>
              </w:rPr>
              <w:t>Stanje krovne konstrukcije (10 bodova):</w:t>
            </w:r>
            <w:r w:rsidRPr="004768AC">
              <w:rPr>
                <w:rFonts w:ascii="Times New Roman" w:eastAsia="Times New Roman" w:hAnsi="Times New Roman" w:cs="Times New Roman"/>
              </w:rPr>
              <w:t xml:space="preserve"> </w:t>
            </w:r>
          </w:p>
          <w:p w14:paraId="74EB6C91" w14:textId="77777777" w:rsidR="00A45C20" w:rsidRPr="004768AC" w:rsidRDefault="00A45C20" w:rsidP="008B1022">
            <w:pPr>
              <w:numPr>
                <w:ilvl w:val="0"/>
                <w:numId w:val="4"/>
              </w:numPr>
              <w:tabs>
                <w:tab w:val="clear" w:pos="720"/>
                <w:tab w:val="left" w:pos="0"/>
                <w:tab w:val="num" w:pos="357"/>
              </w:tabs>
              <w:ind w:left="321"/>
              <w:jc w:val="both"/>
              <w:rPr>
                <w:rFonts w:ascii="Times New Roman" w:eastAsia="Times New Roman" w:hAnsi="Times New Roman" w:cs="Times New Roman"/>
              </w:rPr>
            </w:pPr>
          </w:p>
          <w:p w14:paraId="4C721947" w14:textId="1EBCDF37" w:rsidR="00A45C20" w:rsidRPr="004768AC" w:rsidRDefault="00A45C20" w:rsidP="008B1022">
            <w:pPr>
              <w:numPr>
                <w:ilvl w:val="0"/>
                <w:numId w:val="4"/>
              </w:numPr>
              <w:tabs>
                <w:tab w:val="clear" w:pos="720"/>
                <w:tab w:val="left" w:pos="0"/>
                <w:tab w:val="num" w:pos="357"/>
                <w:tab w:val="num" w:pos="1560"/>
              </w:tabs>
              <w:ind w:left="321"/>
              <w:jc w:val="both"/>
              <w:rPr>
                <w:rFonts w:ascii="Times New Roman" w:eastAsia="Times New Roman" w:hAnsi="Times New Roman" w:cs="Times New Roman"/>
              </w:rPr>
            </w:pPr>
            <w:r w:rsidRPr="004768AC">
              <w:rPr>
                <w:rFonts w:ascii="Times New Roman" w:eastAsia="Times New Roman" w:hAnsi="Times New Roman" w:cs="Times New Roman"/>
              </w:rPr>
              <w:t>- Krov u funkcionalnom stanju – 10 bodova,</w:t>
            </w:r>
          </w:p>
          <w:p w14:paraId="58AABDFF" w14:textId="5F7C72E2" w:rsidR="00A45C20" w:rsidRPr="004768AC" w:rsidRDefault="00A45C20" w:rsidP="008B1022">
            <w:pPr>
              <w:numPr>
                <w:ilvl w:val="0"/>
                <w:numId w:val="4"/>
              </w:numPr>
              <w:tabs>
                <w:tab w:val="clear" w:pos="720"/>
                <w:tab w:val="left" w:pos="0"/>
                <w:tab w:val="num" w:pos="357"/>
                <w:tab w:val="num" w:pos="1560"/>
              </w:tabs>
              <w:ind w:left="321"/>
              <w:jc w:val="both"/>
              <w:rPr>
                <w:rFonts w:ascii="Times New Roman" w:eastAsia="Times New Roman" w:hAnsi="Times New Roman" w:cs="Times New Roman"/>
              </w:rPr>
            </w:pPr>
            <w:r w:rsidRPr="004768AC">
              <w:rPr>
                <w:rFonts w:ascii="Times New Roman" w:eastAsia="Times New Roman" w:hAnsi="Times New Roman" w:cs="Times New Roman"/>
              </w:rPr>
              <w:t>- Krov nije u funkcionalnom</w:t>
            </w:r>
            <w:r w:rsidR="008B1022" w:rsidRPr="004768AC">
              <w:rPr>
                <w:rFonts w:ascii="Times New Roman" w:eastAsia="Times New Roman" w:hAnsi="Times New Roman" w:cs="Times New Roman"/>
              </w:rPr>
              <w:t xml:space="preserve"> </w:t>
            </w:r>
            <w:r w:rsidRPr="004768AC">
              <w:rPr>
                <w:rFonts w:ascii="Times New Roman" w:eastAsia="Times New Roman" w:hAnsi="Times New Roman" w:cs="Times New Roman"/>
              </w:rPr>
              <w:t>stanju- 0 bodova.</w:t>
            </w:r>
          </w:p>
        </w:tc>
        <w:tc>
          <w:tcPr>
            <w:tcW w:w="4530" w:type="dxa"/>
          </w:tcPr>
          <w:p w14:paraId="2947C23E" w14:textId="77777777" w:rsidR="00A45C20" w:rsidRPr="004768AC" w:rsidRDefault="00A45C20" w:rsidP="008B1022">
            <w:pPr>
              <w:tabs>
                <w:tab w:val="left" w:pos="0"/>
                <w:tab w:val="num" w:pos="357"/>
              </w:tabs>
              <w:jc w:val="both"/>
              <w:rPr>
                <w:rFonts w:ascii="Times New Roman" w:eastAsia="Times New Roman" w:hAnsi="Times New Roman" w:cs="Times New Roman"/>
              </w:rPr>
            </w:pPr>
            <w:r w:rsidRPr="004768AC">
              <w:rPr>
                <w:rFonts w:ascii="Times New Roman" w:eastAsia="Times New Roman" w:hAnsi="Times New Roman" w:cs="Times New Roman"/>
                <w:i/>
              </w:rPr>
              <w:t xml:space="preserve">     - </w:t>
            </w:r>
            <w:r w:rsidRPr="004768AC">
              <w:rPr>
                <w:rFonts w:ascii="Times New Roman" w:eastAsia="Times New Roman" w:hAnsi="Times New Roman" w:cs="Times New Roman"/>
              </w:rPr>
              <w:t xml:space="preserve"> </w:t>
            </w:r>
            <w:r w:rsidRPr="004768AC">
              <w:rPr>
                <w:rFonts w:ascii="Times New Roman" w:eastAsia="Times New Roman" w:hAnsi="Times New Roman" w:cs="Times New Roman"/>
                <w:i/>
              </w:rPr>
              <w:t>Stanje krovne konstrukcije (10 bodova):</w:t>
            </w:r>
          </w:p>
          <w:p w14:paraId="40F39FDC" w14:textId="77777777" w:rsidR="00A45C20" w:rsidRPr="004768AC" w:rsidRDefault="00A45C20" w:rsidP="008B1022">
            <w:pPr>
              <w:tabs>
                <w:tab w:val="left" w:pos="0"/>
                <w:tab w:val="num" w:pos="357"/>
              </w:tabs>
              <w:jc w:val="both"/>
              <w:rPr>
                <w:rFonts w:ascii="Times New Roman" w:eastAsia="Times New Roman" w:hAnsi="Times New Roman" w:cs="Times New Roman"/>
              </w:rPr>
            </w:pPr>
          </w:p>
          <w:p w14:paraId="46E9D2B5" w14:textId="79BC3ACF" w:rsidR="00A45C20" w:rsidRPr="004768AC" w:rsidRDefault="00A45C20" w:rsidP="008B1022">
            <w:pPr>
              <w:tabs>
                <w:tab w:val="left" w:pos="0"/>
                <w:tab w:val="num" w:pos="357"/>
              </w:tabs>
              <w:jc w:val="both"/>
              <w:rPr>
                <w:rFonts w:ascii="Times New Roman" w:eastAsia="Times New Roman" w:hAnsi="Times New Roman" w:cs="Times New Roman"/>
              </w:rPr>
            </w:pPr>
            <w:r w:rsidRPr="004768AC">
              <w:rPr>
                <w:rFonts w:ascii="Times New Roman" w:eastAsia="Times New Roman" w:hAnsi="Times New Roman" w:cs="Times New Roman"/>
              </w:rPr>
              <w:t xml:space="preserve">         - Krov u funkcionalnom sta</w:t>
            </w:r>
            <w:r w:rsidR="008B1022" w:rsidRPr="004768AC">
              <w:rPr>
                <w:rFonts w:ascii="Times New Roman" w:eastAsia="Times New Roman" w:hAnsi="Times New Roman" w:cs="Times New Roman"/>
              </w:rPr>
              <w:t xml:space="preserve">nju - </w:t>
            </w:r>
            <w:r w:rsidRPr="004768AC">
              <w:rPr>
                <w:rFonts w:ascii="Times New Roman" w:eastAsia="Times New Roman" w:hAnsi="Times New Roman" w:cs="Times New Roman"/>
              </w:rPr>
              <w:t>0 bodova,</w:t>
            </w:r>
          </w:p>
          <w:p w14:paraId="13453F7A" w14:textId="77777777" w:rsidR="00A45C20" w:rsidRPr="004768AC" w:rsidRDefault="00A45C20" w:rsidP="008B1022">
            <w:pPr>
              <w:tabs>
                <w:tab w:val="left" w:pos="0"/>
                <w:tab w:val="num" w:pos="357"/>
              </w:tabs>
              <w:jc w:val="both"/>
              <w:rPr>
                <w:rFonts w:ascii="Times New Roman" w:eastAsia="Times New Roman" w:hAnsi="Times New Roman" w:cs="Times New Roman"/>
              </w:rPr>
            </w:pPr>
            <w:r w:rsidRPr="004768AC">
              <w:rPr>
                <w:rFonts w:ascii="Times New Roman" w:eastAsia="Times New Roman" w:hAnsi="Times New Roman" w:cs="Times New Roman"/>
              </w:rPr>
              <w:t xml:space="preserve">         - Krov nije u funkcionalnom stanju – </w:t>
            </w:r>
          </w:p>
          <w:p w14:paraId="651E2F47" w14:textId="77777777" w:rsidR="00993784" w:rsidRPr="004768AC" w:rsidRDefault="00A45C20" w:rsidP="008B1022">
            <w:pPr>
              <w:tabs>
                <w:tab w:val="left" w:pos="0"/>
                <w:tab w:val="num" w:pos="357"/>
              </w:tabs>
              <w:jc w:val="both"/>
              <w:rPr>
                <w:rFonts w:ascii="Times New Roman" w:eastAsia="Times New Roman" w:hAnsi="Times New Roman" w:cs="Times New Roman"/>
              </w:rPr>
            </w:pPr>
            <w:r w:rsidRPr="004768AC">
              <w:rPr>
                <w:rFonts w:ascii="Times New Roman" w:eastAsia="Times New Roman" w:hAnsi="Times New Roman" w:cs="Times New Roman"/>
              </w:rPr>
              <w:t xml:space="preserve">           10 bodova.</w:t>
            </w:r>
          </w:p>
          <w:p w14:paraId="31A67A3A" w14:textId="77777777" w:rsidR="00993784" w:rsidRPr="004768AC" w:rsidRDefault="00993784" w:rsidP="008B1022">
            <w:pPr>
              <w:tabs>
                <w:tab w:val="left" w:pos="0"/>
                <w:tab w:val="num" w:pos="357"/>
              </w:tabs>
              <w:jc w:val="both"/>
              <w:rPr>
                <w:rFonts w:ascii="Times New Roman" w:eastAsia="Times New Roman" w:hAnsi="Times New Roman" w:cs="Times New Roman"/>
              </w:rPr>
            </w:pPr>
          </w:p>
          <w:p w14:paraId="62A0D700" w14:textId="0A79309F" w:rsidR="00993784" w:rsidRPr="004768AC" w:rsidRDefault="00993784" w:rsidP="008B1022">
            <w:pPr>
              <w:tabs>
                <w:tab w:val="num" w:pos="357"/>
              </w:tabs>
              <w:ind w:left="-4665"/>
              <w:jc w:val="both"/>
              <w:rPr>
                <w:rFonts w:ascii="Times New Roman" w:eastAsia="Times New Roman" w:hAnsi="Times New Roman" w:cs="Times New Roman"/>
              </w:rPr>
            </w:pPr>
          </w:p>
        </w:tc>
      </w:tr>
    </w:tbl>
    <w:p w14:paraId="7439126A" w14:textId="1EAD26D8" w:rsidR="00A45C20" w:rsidRPr="004768AC" w:rsidRDefault="00993784" w:rsidP="000912A1">
      <w:pPr>
        <w:spacing w:after="0" w:line="276" w:lineRule="auto"/>
        <w:jc w:val="both"/>
        <w:rPr>
          <w:rFonts w:ascii="Times New Roman" w:eastAsia="Times New Roman" w:hAnsi="Times New Roman" w:cs="Times New Roman"/>
          <w:b/>
          <w:color w:val="000000"/>
          <w:kern w:val="0"/>
          <w14:ligatures w14:val="none"/>
        </w:rPr>
      </w:pPr>
      <w:r w:rsidRPr="004768AC">
        <w:rPr>
          <w:rFonts w:ascii="Times New Roman" w:eastAsia="Times New Roman" w:hAnsi="Times New Roman" w:cs="Times New Roman"/>
          <w:b/>
          <w:color w:val="000000"/>
          <w:kern w:val="0"/>
          <w14:ligatures w14:val="none"/>
        </w:rPr>
        <w:t>DOKUMENTACIJA ZA DODATNE BODOVE:</w:t>
      </w:r>
    </w:p>
    <w:p w14:paraId="72B7BA52" w14:textId="1E14B19A" w:rsidR="00993784" w:rsidRPr="004768AC" w:rsidRDefault="00993784" w:rsidP="000912A1">
      <w:pPr>
        <w:pStyle w:val="ListParagraph"/>
        <w:numPr>
          <w:ilvl w:val="1"/>
          <w:numId w:val="4"/>
        </w:numPr>
        <w:spacing w:after="0" w:line="276" w:lineRule="auto"/>
        <w:jc w:val="both"/>
        <w:rPr>
          <w:rFonts w:ascii="Times New Roman" w:eastAsia="Times New Roman" w:hAnsi="Times New Roman" w:cs="Times New Roman"/>
          <w:bCs/>
          <w:color w:val="000000"/>
          <w:kern w:val="0"/>
          <w14:ligatures w14:val="none"/>
        </w:rPr>
      </w:pPr>
      <w:r w:rsidRPr="004768AC">
        <w:rPr>
          <w:rFonts w:ascii="Times New Roman" w:eastAsia="Times New Roman" w:hAnsi="Times New Roman" w:cs="Times New Roman"/>
          <w:bCs/>
          <w:color w:val="000000"/>
          <w:kern w:val="0"/>
          <w14:ligatures w14:val="none"/>
        </w:rPr>
        <w:t>Energetski audit za zgradu za koju se prijavljuje (dovoljna samo kopija);</w:t>
      </w:r>
    </w:p>
    <w:p w14:paraId="3EE4F31E" w14:textId="1A6A1EAA" w:rsidR="00993784" w:rsidRPr="004768AC" w:rsidRDefault="00993784" w:rsidP="000912A1">
      <w:pPr>
        <w:pStyle w:val="ListParagraph"/>
        <w:numPr>
          <w:ilvl w:val="1"/>
          <w:numId w:val="4"/>
        </w:numPr>
        <w:spacing w:after="0" w:line="276" w:lineRule="auto"/>
        <w:jc w:val="both"/>
        <w:rPr>
          <w:rFonts w:ascii="Times New Roman" w:eastAsia="Times New Roman" w:hAnsi="Times New Roman" w:cs="Times New Roman"/>
          <w:bCs/>
          <w:color w:val="000000"/>
          <w:kern w:val="0"/>
          <w14:ligatures w14:val="none"/>
        </w:rPr>
      </w:pPr>
      <w:r w:rsidRPr="004768AC">
        <w:rPr>
          <w:rFonts w:ascii="Times New Roman" w:eastAsia="Times New Roman" w:hAnsi="Times New Roman" w:cs="Times New Roman"/>
          <w:bCs/>
          <w:color w:val="000000"/>
          <w:kern w:val="0"/>
          <w14:ligatures w14:val="none"/>
        </w:rPr>
        <w:t>Izjava o osiguranim novčanim sredstvima (ovjerena u Službi za opću upravu/kod notara)</w:t>
      </w:r>
    </w:p>
    <w:p w14:paraId="4C84607F" w14:textId="77777777" w:rsidR="00A45C20" w:rsidRPr="004768AC" w:rsidRDefault="00A45C20" w:rsidP="000912A1">
      <w:pPr>
        <w:spacing w:before="120" w:after="120" w:line="240" w:lineRule="auto"/>
        <w:jc w:val="both"/>
        <w:rPr>
          <w:rFonts w:ascii="Times New Roman" w:eastAsia="Calibri" w:hAnsi="Times New Roman" w:cs="Times New Roman"/>
          <w:kern w:val="0"/>
          <w14:ligatures w14:val="none"/>
        </w:rPr>
      </w:pPr>
      <w:r w:rsidRPr="004768AC">
        <w:rPr>
          <w:rFonts w:ascii="Times New Roman" w:eastAsia="Calibri" w:hAnsi="Times New Roman" w:cs="Times New Roman"/>
          <w:kern w:val="0"/>
          <w14:ligatures w14:val="none"/>
        </w:rPr>
        <w:t xml:space="preserve">Za objekte kolektivnog stanovanja koji budu imali isti broj bodova na rang listi, prednost će imati prijave zaprimljene ranije na protokol Grada Zenica, objekat sa većim procentom saglasnih stanara (više potpisa) za učešće, te prijave uz koje se, pored obavezne dokumentacije , dostavi i dokaz o već osiguranim finansijskim sredstvima za finansiranje projekta. U slučaju da Komisija ocijeni da nisu ispunjeni svi uslovi za odobravanje finansijskih sredstava, zahtjev se odbija. </w:t>
      </w:r>
    </w:p>
    <w:p w14:paraId="0D76C8DF" w14:textId="77777777" w:rsidR="00A45C20" w:rsidRPr="004768AC" w:rsidRDefault="00A45C20" w:rsidP="000912A1">
      <w:pPr>
        <w:spacing w:after="0" w:line="276" w:lineRule="auto"/>
        <w:jc w:val="both"/>
        <w:rPr>
          <w:rFonts w:ascii="Times New Roman" w:eastAsia="Times New Roman" w:hAnsi="Times New Roman" w:cs="Times New Roman"/>
          <w:bCs/>
          <w:color w:val="000000"/>
          <w:kern w:val="0"/>
          <w:sz w:val="16"/>
          <w14:ligatures w14:val="none"/>
        </w:rPr>
      </w:pPr>
    </w:p>
    <w:p w14:paraId="2104D999" w14:textId="77777777" w:rsidR="00A45C20" w:rsidRPr="004768AC" w:rsidRDefault="00A45C20" w:rsidP="000912A1">
      <w:pPr>
        <w:spacing w:after="0" w:line="240" w:lineRule="auto"/>
        <w:jc w:val="both"/>
        <w:rPr>
          <w:rFonts w:ascii="Times New Roman" w:eastAsia="Times New Roman" w:hAnsi="Times New Roman" w:cs="Times New Roman"/>
          <w:bCs/>
          <w:color w:val="000000"/>
          <w:kern w:val="0"/>
          <w14:ligatures w14:val="none"/>
        </w:rPr>
      </w:pPr>
      <w:r w:rsidRPr="004768AC">
        <w:rPr>
          <w:rFonts w:ascii="Times New Roman" w:eastAsia="Times New Roman" w:hAnsi="Times New Roman" w:cs="Times New Roman"/>
          <w:kern w:val="0"/>
          <w14:ligatures w14:val="none"/>
        </w:rPr>
        <w:t xml:space="preserve">Po odabiru, Ugovor se zaključuje između Grada Zenice i upravitelja, ili Grada Zenice i  predstavnika etažnih vlasnika. Grad vrši isplatu dodijeljenih sredstava upravitelju (izvođaču radova) na osnovu izvještaja nadzornog organa i pregleda završenih radova. </w:t>
      </w:r>
      <w:r w:rsidRPr="004768AC">
        <w:rPr>
          <w:rFonts w:ascii="Times New Roman" w:eastAsia="Times New Roman" w:hAnsi="Times New Roman" w:cs="Times New Roman"/>
          <w:kern w:val="0"/>
          <w:lang w:eastAsia="bs-Latn-BA"/>
          <w14:ligatures w14:val="none"/>
        </w:rPr>
        <w:t>Rok prikupljanja sredstava kojim stanari sufinanciraju projekat, je 30 dana obostranog potpisivanja ugovora.</w:t>
      </w:r>
      <w:r w:rsidRPr="004768AC">
        <w:rPr>
          <w:rFonts w:ascii="Times New Roman" w:eastAsia="Times New Roman" w:hAnsi="Times New Roman" w:cs="Times New Roman"/>
          <w:kern w:val="0"/>
          <w14:ligatures w14:val="none"/>
        </w:rPr>
        <w:t xml:space="preserve"> Ukoliko se finansijska sredstva ne prikupe u prethodno određenom vremenskom roku smatrat će se da je taj korisnik odustao od programa. </w:t>
      </w:r>
    </w:p>
    <w:p w14:paraId="7C2167FF" w14:textId="77777777" w:rsidR="00FB270D" w:rsidRPr="004768AC" w:rsidRDefault="00FB270D" w:rsidP="000912A1">
      <w:pPr>
        <w:jc w:val="both"/>
        <w:rPr>
          <w:rFonts w:ascii="Times New Roman" w:hAnsi="Times New Roman" w:cs="Times New Roman"/>
        </w:rPr>
      </w:pPr>
    </w:p>
    <w:p w14:paraId="289F9720" w14:textId="376B261C" w:rsidR="00FB270D" w:rsidRPr="004768AC" w:rsidRDefault="00D86717" w:rsidP="000912A1">
      <w:pPr>
        <w:jc w:val="both"/>
        <w:rPr>
          <w:rFonts w:ascii="Times New Roman" w:hAnsi="Times New Roman" w:cs="Times New Roman"/>
          <w:b/>
          <w:bCs/>
        </w:rPr>
      </w:pPr>
      <w:r w:rsidRPr="004768AC">
        <w:rPr>
          <w:rFonts w:ascii="Times New Roman" w:hAnsi="Times New Roman" w:cs="Times New Roman"/>
          <w:b/>
          <w:bCs/>
        </w:rPr>
        <w:t>9</w:t>
      </w:r>
      <w:r w:rsidR="00FB270D" w:rsidRPr="004768AC">
        <w:rPr>
          <w:rFonts w:ascii="Times New Roman" w:hAnsi="Times New Roman" w:cs="Times New Roman"/>
          <w:b/>
          <w:bCs/>
        </w:rPr>
        <w:t>. Ugovaranje</w:t>
      </w:r>
    </w:p>
    <w:p w14:paraId="4CA93B24" w14:textId="77777777" w:rsidR="00D86717" w:rsidRPr="004768AC" w:rsidRDefault="00D86717" w:rsidP="000912A1">
      <w:pPr>
        <w:spacing w:after="0" w:line="240" w:lineRule="auto"/>
        <w:jc w:val="both"/>
        <w:rPr>
          <w:rFonts w:ascii="Times New Roman" w:eastAsia="Times New Roman" w:hAnsi="Times New Roman" w:cs="Times New Roman"/>
          <w:bCs/>
          <w:color w:val="000000"/>
          <w:kern w:val="0"/>
          <w14:ligatures w14:val="none"/>
        </w:rPr>
      </w:pPr>
      <w:r w:rsidRPr="004768AC">
        <w:rPr>
          <w:rFonts w:ascii="Times New Roman" w:eastAsia="Times New Roman" w:hAnsi="Times New Roman" w:cs="Times New Roman"/>
          <w:kern w:val="0"/>
          <w14:ligatures w14:val="none"/>
        </w:rPr>
        <w:t xml:space="preserve">Po odabiru, Ugovor se zaključuje između Grada Zenice i upravitelja, ili Grada Zenice i  predstavnika etažnih vlasnika. Grad vrši isplatu dodijeljenih sredstava upravitelju (izvođaču radova) na osnovu izvještaja nadzornog organa i pregleda završenih radova. </w:t>
      </w:r>
      <w:r w:rsidRPr="004768AC">
        <w:rPr>
          <w:rFonts w:ascii="Times New Roman" w:eastAsia="Times New Roman" w:hAnsi="Times New Roman" w:cs="Times New Roman"/>
          <w:kern w:val="0"/>
          <w:lang w:eastAsia="bs-Latn-BA"/>
          <w14:ligatures w14:val="none"/>
        </w:rPr>
        <w:t>Rok prikupljanja sredstava kojim stanari sufinanciraju projekat, je 30 dana obostranog potpisivanja ugovora.</w:t>
      </w:r>
      <w:r w:rsidRPr="004768AC">
        <w:rPr>
          <w:rFonts w:ascii="Times New Roman" w:eastAsia="Times New Roman" w:hAnsi="Times New Roman" w:cs="Times New Roman"/>
          <w:kern w:val="0"/>
          <w14:ligatures w14:val="none"/>
        </w:rPr>
        <w:t xml:space="preserve"> Ukoliko se finansijska sredstva ne prikupe u prethodno određenom vremenskom roku smatrat će se da je taj korisnik odustao od programa. </w:t>
      </w:r>
    </w:p>
    <w:p w14:paraId="02757E4D" w14:textId="77777777" w:rsidR="00FB270D" w:rsidRPr="004768AC" w:rsidRDefault="00FB270D" w:rsidP="000912A1">
      <w:pPr>
        <w:jc w:val="both"/>
        <w:rPr>
          <w:rFonts w:ascii="Times New Roman" w:hAnsi="Times New Roman" w:cs="Times New Roman"/>
        </w:rPr>
      </w:pPr>
    </w:p>
    <w:p w14:paraId="707B113C" w14:textId="015585B1" w:rsidR="00FB270D" w:rsidRPr="004768AC" w:rsidRDefault="000E3506" w:rsidP="000912A1">
      <w:pPr>
        <w:jc w:val="both"/>
        <w:rPr>
          <w:rFonts w:ascii="Times New Roman" w:hAnsi="Times New Roman" w:cs="Times New Roman"/>
          <w:b/>
          <w:bCs/>
        </w:rPr>
      </w:pPr>
      <w:r w:rsidRPr="004768AC">
        <w:rPr>
          <w:rFonts w:ascii="Times New Roman" w:hAnsi="Times New Roman" w:cs="Times New Roman"/>
          <w:b/>
          <w:bCs/>
        </w:rPr>
        <w:t>10</w:t>
      </w:r>
      <w:r w:rsidR="00FB270D" w:rsidRPr="004768AC">
        <w:rPr>
          <w:rFonts w:ascii="Times New Roman" w:hAnsi="Times New Roman" w:cs="Times New Roman"/>
          <w:b/>
          <w:bCs/>
        </w:rPr>
        <w:t>. Obaveze Grada Zenice</w:t>
      </w:r>
    </w:p>
    <w:p w14:paraId="3C510CA8" w14:textId="77777777" w:rsidR="00FB270D" w:rsidRPr="004768AC" w:rsidRDefault="00FB270D" w:rsidP="000912A1">
      <w:pPr>
        <w:pStyle w:val="ListParagraph"/>
        <w:numPr>
          <w:ilvl w:val="0"/>
          <w:numId w:val="5"/>
        </w:numPr>
        <w:jc w:val="both"/>
        <w:rPr>
          <w:rFonts w:ascii="Times New Roman" w:hAnsi="Times New Roman" w:cs="Times New Roman"/>
        </w:rPr>
      </w:pPr>
      <w:r w:rsidRPr="004768AC">
        <w:rPr>
          <w:rFonts w:ascii="Times New Roman" w:hAnsi="Times New Roman" w:cs="Times New Roman"/>
        </w:rPr>
        <w:t>imenovanje komisije,</w:t>
      </w:r>
    </w:p>
    <w:p w14:paraId="0C5F5C21" w14:textId="77777777" w:rsidR="00FB270D" w:rsidRPr="004768AC" w:rsidRDefault="00FB270D" w:rsidP="000912A1">
      <w:pPr>
        <w:pStyle w:val="ListParagraph"/>
        <w:numPr>
          <w:ilvl w:val="0"/>
          <w:numId w:val="5"/>
        </w:numPr>
        <w:jc w:val="both"/>
        <w:rPr>
          <w:rFonts w:ascii="Times New Roman" w:hAnsi="Times New Roman" w:cs="Times New Roman"/>
        </w:rPr>
      </w:pPr>
      <w:r w:rsidRPr="004768AC">
        <w:rPr>
          <w:rFonts w:ascii="Times New Roman" w:hAnsi="Times New Roman" w:cs="Times New Roman"/>
        </w:rPr>
        <w:t>sufinansiranje projekta do 50%,</w:t>
      </w:r>
    </w:p>
    <w:p w14:paraId="415E2253" w14:textId="77777777" w:rsidR="00FB270D" w:rsidRPr="004768AC" w:rsidRDefault="00FB270D" w:rsidP="000912A1">
      <w:pPr>
        <w:pStyle w:val="ListParagraph"/>
        <w:numPr>
          <w:ilvl w:val="0"/>
          <w:numId w:val="5"/>
        </w:numPr>
        <w:jc w:val="both"/>
        <w:rPr>
          <w:rFonts w:ascii="Times New Roman" w:hAnsi="Times New Roman" w:cs="Times New Roman"/>
        </w:rPr>
      </w:pPr>
      <w:r w:rsidRPr="004768AC">
        <w:rPr>
          <w:rFonts w:ascii="Times New Roman" w:hAnsi="Times New Roman" w:cs="Times New Roman"/>
        </w:rPr>
        <w:t>obezbjeđenje nadzora i isplata sredstava.</w:t>
      </w:r>
    </w:p>
    <w:p w14:paraId="535796CE" w14:textId="318073DC" w:rsidR="00FB270D" w:rsidRPr="004768AC" w:rsidRDefault="000E3506" w:rsidP="000912A1">
      <w:pPr>
        <w:jc w:val="both"/>
        <w:rPr>
          <w:rFonts w:ascii="Times New Roman" w:hAnsi="Times New Roman" w:cs="Times New Roman"/>
          <w:b/>
          <w:bCs/>
        </w:rPr>
      </w:pPr>
      <w:r w:rsidRPr="004768AC">
        <w:rPr>
          <w:rFonts w:ascii="Times New Roman" w:hAnsi="Times New Roman" w:cs="Times New Roman"/>
          <w:b/>
          <w:bCs/>
        </w:rPr>
        <w:t>11</w:t>
      </w:r>
      <w:r w:rsidR="00FB270D" w:rsidRPr="004768AC">
        <w:rPr>
          <w:rFonts w:ascii="Times New Roman" w:hAnsi="Times New Roman" w:cs="Times New Roman"/>
          <w:b/>
          <w:bCs/>
        </w:rPr>
        <w:t>. Obaveze korisnika</w:t>
      </w:r>
    </w:p>
    <w:p w14:paraId="441394F1" w14:textId="77777777" w:rsidR="000E3506" w:rsidRPr="004768AC" w:rsidRDefault="000E3506" w:rsidP="000C66B5">
      <w:pPr>
        <w:numPr>
          <w:ilvl w:val="0"/>
          <w:numId w:val="6"/>
        </w:numPr>
        <w:shd w:val="clear" w:color="auto" w:fill="FFFFFF"/>
        <w:tabs>
          <w:tab w:val="left" w:pos="709"/>
        </w:tabs>
        <w:spacing w:after="0" w:line="240" w:lineRule="auto"/>
        <w:ind w:left="709"/>
        <w:contextualSpacing/>
        <w:jc w:val="both"/>
        <w:rPr>
          <w:rFonts w:ascii="Times New Roman" w:eastAsia="Times New Roman" w:hAnsi="Times New Roman" w:cs="Times New Roman"/>
          <w:color w:val="000000"/>
          <w:kern w:val="0"/>
          <w14:ligatures w14:val="none"/>
        </w:rPr>
      </w:pPr>
      <w:r w:rsidRPr="004768AC">
        <w:rPr>
          <w:rFonts w:ascii="Times New Roman" w:eastAsia="Times New Roman" w:hAnsi="Times New Roman" w:cs="Times New Roman"/>
          <w:b/>
          <w:bCs/>
          <w:color w:val="000000"/>
          <w:kern w:val="0"/>
          <w14:ligatures w14:val="none"/>
        </w:rPr>
        <w:t>Dostavljanje</w:t>
      </w:r>
      <w:r w:rsidRPr="004768AC">
        <w:rPr>
          <w:rFonts w:ascii="Times New Roman" w:eastAsia="Calibri" w:hAnsi="Times New Roman" w:cs="Times New Roman"/>
          <w:b/>
          <w:bCs/>
          <w:kern w:val="0"/>
          <w14:ligatures w14:val="none"/>
        </w:rPr>
        <w:t xml:space="preserve"> popunjenog </w:t>
      </w:r>
      <w:r w:rsidRPr="004768AC">
        <w:rPr>
          <w:rFonts w:ascii="Times New Roman" w:eastAsia="Times New Roman" w:hAnsi="Times New Roman" w:cs="Times New Roman"/>
          <w:b/>
          <w:bCs/>
          <w:color w:val="000000"/>
          <w:kern w:val="0"/>
          <w14:ligatures w14:val="none"/>
        </w:rPr>
        <w:t xml:space="preserve">prijavnog obrasca </w:t>
      </w:r>
      <w:r w:rsidRPr="004768AC">
        <w:rPr>
          <w:rFonts w:ascii="Times New Roman" w:eastAsia="Times New Roman" w:hAnsi="Times New Roman" w:cs="Times New Roman"/>
          <w:color w:val="000000"/>
          <w:kern w:val="0"/>
          <w14:ligatures w14:val="none"/>
        </w:rPr>
        <w:t>– ovjerenog od strane podnosioca prijave (pečat Odbora ili upravitelja)</w:t>
      </w:r>
    </w:p>
    <w:p w14:paraId="3E45C08F" w14:textId="77777777" w:rsidR="000E3506" w:rsidRPr="004768AC" w:rsidRDefault="000E3506" w:rsidP="000C66B5">
      <w:pPr>
        <w:numPr>
          <w:ilvl w:val="0"/>
          <w:numId w:val="6"/>
        </w:numPr>
        <w:shd w:val="clear" w:color="auto" w:fill="FFFFFF"/>
        <w:tabs>
          <w:tab w:val="left" w:pos="709"/>
        </w:tabs>
        <w:spacing w:after="0" w:line="240" w:lineRule="auto"/>
        <w:ind w:left="709"/>
        <w:contextualSpacing/>
        <w:jc w:val="both"/>
        <w:rPr>
          <w:rFonts w:ascii="Times New Roman" w:eastAsia="Times New Roman" w:hAnsi="Times New Roman" w:cs="Times New Roman"/>
          <w:color w:val="000000"/>
          <w:kern w:val="0"/>
          <w14:ligatures w14:val="none"/>
        </w:rPr>
      </w:pPr>
      <w:r w:rsidRPr="004768AC">
        <w:rPr>
          <w:rFonts w:ascii="Times New Roman" w:eastAsia="Times New Roman" w:hAnsi="Times New Roman" w:cs="Times New Roman"/>
          <w:b/>
          <w:bCs/>
          <w:color w:val="000000"/>
          <w:kern w:val="0"/>
          <w14:ligatures w14:val="none"/>
        </w:rPr>
        <w:t>Dostavljanje certifikata o registraciji za obavljanje djelatnosti</w:t>
      </w:r>
      <w:r w:rsidRPr="004768AC">
        <w:rPr>
          <w:rFonts w:ascii="Times New Roman" w:eastAsia="Times New Roman" w:hAnsi="Times New Roman" w:cs="Times New Roman"/>
          <w:color w:val="000000"/>
          <w:kern w:val="0"/>
          <w14:ligatures w14:val="none"/>
        </w:rPr>
        <w:t xml:space="preserve"> održavanja zgrade i</w:t>
      </w:r>
      <w:r w:rsidRPr="004768AC">
        <w:rPr>
          <w:rFonts w:ascii="Calibri" w:eastAsia="Calibri" w:hAnsi="Calibri" w:cs="Times New Roman"/>
          <w:kern w:val="0"/>
          <w14:ligatures w14:val="none"/>
        </w:rPr>
        <w:t xml:space="preserve"> </w:t>
      </w:r>
      <w:r w:rsidRPr="004768AC">
        <w:rPr>
          <w:rFonts w:ascii="Times New Roman" w:eastAsia="Times New Roman" w:hAnsi="Times New Roman" w:cs="Times New Roman"/>
          <w:color w:val="000000"/>
          <w:kern w:val="0"/>
          <w14:ligatures w14:val="none"/>
        </w:rPr>
        <w:t>Ugovora o održavanju koji je sklopljen sa etažnim vlasnicima (važi samo za upravitelja) – ovjeren u Službi za opću upravu/kod notara,</w:t>
      </w:r>
    </w:p>
    <w:p w14:paraId="14F91414" w14:textId="77777777" w:rsidR="000E3506" w:rsidRPr="004768AC" w:rsidRDefault="000E3506" w:rsidP="000C66B5">
      <w:pPr>
        <w:numPr>
          <w:ilvl w:val="0"/>
          <w:numId w:val="6"/>
        </w:numPr>
        <w:shd w:val="clear" w:color="auto" w:fill="FFFFFF"/>
        <w:tabs>
          <w:tab w:val="left" w:pos="709"/>
        </w:tabs>
        <w:spacing w:after="0" w:line="240" w:lineRule="auto"/>
        <w:ind w:left="709"/>
        <w:contextualSpacing/>
        <w:jc w:val="both"/>
        <w:rPr>
          <w:rFonts w:ascii="Times New Roman" w:eastAsia="Times New Roman" w:hAnsi="Times New Roman" w:cs="Times New Roman"/>
          <w:color w:val="000000"/>
          <w:kern w:val="0"/>
          <w14:ligatures w14:val="none"/>
        </w:rPr>
      </w:pPr>
      <w:r w:rsidRPr="004768AC">
        <w:rPr>
          <w:rFonts w:ascii="Times New Roman" w:eastAsia="Times New Roman" w:hAnsi="Times New Roman" w:cs="Times New Roman"/>
          <w:b/>
          <w:bCs/>
          <w:color w:val="000000"/>
          <w:kern w:val="0"/>
          <w14:ligatures w14:val="none"/>
        </w:rPr>
        <w:t>Dostavljanje izjave o prihvatanju uslova</w:t>
      </w:r>
      <w:r w:rsidRPr="004768AC">
        <w:rPr>
          <w:rFonts w:ascii="Times New Roman" w:eastAsia="Times New Roman" w:hAnsi="Times New Roman" w:cs="Times New Roman"/>
          <w:color w:val="000000"/>
          <w:kern w:val="0"/>
          <w14:ligatures w14:val="none"/>
        </w:rPr>
        <w:t xml:space="preserve"> participiranja na projektu implementacije mjera u cilju poboljšavanja energetske efikasnosti sa potpisima minimalno 75 % etažnih vlasnika zgrade – ovjerena od strane podnosioca prijave (pečat upravitelja ili odbora). Potpisi moraju biti </w:t>
      </w:r>
      <w:r w:rsidRPr="004768AC">
        <w:rPr>
          <w:rFonts w:ascii="Times New Roman" w:eastAsia="Times New Roman" w:hAnsi="Times New Roman" w:cs="Times New Roman"/>
          <w:color w:val="000000"/>
          <w:kern w:val="0"/>
          <w14:ligatures w14:val="none"/>
        </w:rPr>
        <w:lastRenderedPageBreak/>
        <w:t>vlastoručni, uz broj lične karte. Jedna osoba ne može potpisati više stanara, a predstavnik etažnih vlasnika svojom izjavom garantuje tačnost podataka.</w:t>
      </w:r>
    </w:p>
    <w:p w14:paraId="32840CD9" w14:textId="77777777" w:rsidR="000E3506" w:rsidRPr="004768AC" w:rsidRDefault="000E3506" w:rsidP="000C66B5">
      <w:pPr>
        <w:numPr>
          <w:ilvl w:val="0"/>
          <w:numId w:val="6"/>
        </w:numPr>
        <w:shd w:val="clear" w:color="auto" w:fill="FFFFFF"/>
        <w:tabs>
          <w:tab w:val="left" w:pos="709"/>
        </w:tabs>
        <w:spacing w:after="0" w:line="240" w:lineRule="auto"/>
        <w:ind w:left="709" w:right="141"/>
        <w:contextualSpacing/>
        <w:jc w:val="both"/>
        <w:rPr>
          <w:rFonts w:ascii="Times New Roman" w:eastAsia="Times New Roman" w:hAnsi="Times New Roman" w:cs="Times New Roman"/>
          <w:color w:val="000000"/>
          <w:kern w:val="0"/>
          <w14:ligatures w14:val="none"/>
        </w:rPr>
      </w:pPr>
      <w:r w:rsidRPr="004768AC">
        <w:rPr>
          <w:rFonts w:ascii="Times New Roman" w:eastAsia="Times New Roman" w:hAnsi="Times New Roman" w:cs="Times New Roman"/>
          <w:b/>
          <w:bCs/>
          <w:color w:val="000000"/>
          <w:kern w:val="0"/>
          <w14:ligatures w14:val="none"/>
        </w:rPr>
        <w:t>Dostavljanje izjave o tačnosti podataka</w:t>
      </w:r>
      <w:r w:rsidRPr="004768AC">
        <w:rPr>
          <w:rFonts w:ascii="Times New Roman" w:eastAsia="Times New Roman" w:hAnsi="Times New Roman" w:cs="Times New Roman"/>
          <w:color w:val="000000"/>
          <w:kern w:val="0"/>
          <w14:ligatures w14:val="none"/>
        </w:rPr>
        <w:t xml:space="preserve"> – potpisana od strane predstavnika etažnih vlasnika i ovjerena od strane Službe za opću upravu ili notara, </w:t>
      </w:r>
    </w:p>
    <w:p w14:paraId="0CBFF2C7" w14:textId="77777777" w:rsidR="004768AC" w:rsidRPr="004768AC" w:rsidRDefault="000E3506" w:rsidP="004768AC">
      <w:pPr>
        <w:numPr>
          <w:ilvl w:val="0"/>
          <w:numId w:val="6"/>
        </w:numPr>
        <w:spacing w:before="120" w:after="100" w:afterAutospacing="1" w:line="240" w:lineRule="auto"/>
        <w:ind w:left="709"/>
        <w:contextualSpacing/>
        <w:jc w:val="both"/>
        <w:rPr>
          <w:rFonts w:ascii="Times New Roman" w:eastAsia="Times New Roman" w:hAnsi="Times New Roman" w:cs="Times New Roman"/>
          <w:kern w:val="0"/>
          <w:lang w:eastAsia="bs-Latn-BA"/>
          <w14:ligatures w14:val="none"/>
        </w:rPr>
      </w:pPr>
      <w:r w:rsidRPr="004768AC">
        <w:rPr>
          <w:rFonts w:ascii="Times New Roman" w:eastAsia="Times New Roman" w:hAnsi="Times New Roman" w:cs="Times New Roman"/>
          <w:b/>
          <w:bCs/>
          <w:kern w:val="0"/>
          <w:lang w:eastAsia="bs-Latn-BA"/>
          <w14:ligatures w14:val="none"/>
        </w:rPr>
        <w:t>Dostavljanje uvjerenja Službe za komunalne djelatnosti</w:t>
      </w:r>
      <w:r w:rsidRPr="004768AC">
        <w:rPr>
          <w:rFonts w:ascii="Times New Roman" w:eastAsia="Times New Roman" w:hAnsi="Times New Roman" w:cs="Times New Roman"/>
          <w:kern w:val="0"/>
          <w:lang w:eastAsia="bs-Latn-BA"/>
          <w14:ligatures w14:val="none"/>
        </w:rPr>
        <w:t xml:space="preserve"> kojim će se potvrditi da je Upravitelj uspješno realizovao sve projekte ugovorene u skladu sa Javnim pozivom iz prethodne godine.</w:t>
      </w:r>
    </w:p>
    <w:p w14:paraId="01FE5C95" w14:textId="0B1CE1A8" w:rsidR="004768AC" w:rsidRPr="004768AC" w:rsidRDefault="004768AC" w:rsidP="004768AC">
      <w:pPr>
        <w:numPr>
          <w:ilvl w:val="0"/>
          <w:numId w:val="6"/>
        </w:numPr>
        <w:spacing w:before="120" w:after="100" w:afterAutospacing="1" w:line="240" w:lineRule="auto"/>
        <w:ind w:left="709"/>
        <w:contextualSpacing/>
        <w:jc w:val="both"/>
        <w:rPr>
          <w:rFonts w:ascii="Times New Roman" w:eastAsia="Times New Roman" w:hAnsi="Times New Roman" w:cs="Times New Roman"/>
          <w:kern w:val="0"/>
          <w:lang w:eastAsia="bs-Latn-BA"/>
          <w14:ligatures w14:val="none"/>
        </w:rPr>
      </w:pPr>
      <w:r w:rsidRPr="004768AC">
        <w:rPr>
          <w:rFonts w:ascii="Times New Roman" w:eastAsia="Times New Roman" w:hAnsi="Times New Roman" w:cs="Times New Roman"/>
          <w:b/>
          <w:bCs/>
          <w:kern w:val="0"/>
          <w:lang w:eastAsia="bs-Latn-BA"/>
          <w14:ligatures w14:val="none"/>
        </w:rPr>
        <w:t>Da posjeduju p</w:t>
      </w:r>
      <w:r w:rsidRPr="004768AC">
        <w:rPr>
          <w:rFonts w:ascii="Times New Roman" w:hAnsi="Times New Roman" w:cs="Times New Roman"/>
          <w:b/>
          <w:bCs/>
        </w:rPr>
        <w:t>redmjer</w:t>
      </w:r>
      <w:r w:rsidRPr="004768AC">
        <w:rPr>
          <w:rFonts w:ascii="Times New Roman" w:hAnsi="Times New Roman" w:cs="Times New Roman"/>
          <w:b/>
          <w:bCs/>
        </w:rPr>
        <w:t xml:space="preserve"> </w:t>
      </w:r>
      <w:r w:rsidRPr="004768AC">
        <w:rPr>
          <w:rFonts w:ascii="Times New Roman" w:hAnsi="Times New Roman" w:cs="Times New Roman"/>
          <w:b/>
          <w:bCs/>
        </w:rPr>
        <w:t>i predračun radova sa tehničkim opisom</w:t>
      </w:r>
      <w:r w:rsidRPr="004768AC">
        <w:rPr>
          <w:rFonts w:ascii="Times New Roman" w:hAnsi="Times New Roman" w:cs="Times New Roman"/>
        </w:rPr>
        <w:t xml:space="preserve"> objekta, izrađen od strane izvođača radova/upravitelja, sa jasno naznačenim iznosom traženih sredstava za sufinansiranje od strane Grada Zenica. Predmjer treba da sadrži sve pripremne radnje kako bi se postigla energetska efikasnost, </w:t>
      </w:r>
      <w:r w:rsidRPr="004768AC">
        <w:rPr>
          <w:rFonts w:ascii="Times New Roman" w:hAnsi="Times New Roman" w:cs="Times New Roman"/>
          <w:b/>
          <w:bCs/>
        </w:rPr>
        <w:t>ovjeren od strane ovlaštenog izvođača radova ili upravitelja:</w:t>
      </w:r>
    </w:p>
    <w:tbl>
      <w:tblPr>
        <w:tblW w:w="8293" w:type="dxa"/>
        <w:tblInd w:w="7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68"/>
        <w:gridCol w:w="4125"/>
      </w:tblGrid>
      <w:tr w:rsidR="004768AC" w:rsidRPr="004768AC" w14:paraId="07B49E97" w14:textId="77777777" w:rsidTr="004768AC">
        <w:trPr>
          <w:trHeight w:val="204"/>
        </w:trPr>
        <w:tc>
          <w:tcPr>
            <w:tcW w:w="4168" w:type="dxa"/>
          </w:tcPr>
          <w:p w14:paraId="16326AB1" w14:textId="77777777" w:rsidR="004768AC" w:rsidRPr="004768AC" w:rsidRDefault="004768AC" w:rsidP="00F73741">
            <w:pPr>
              <w:pStyle w:val="Default"/>
              <w:spacing w:before="100" w:beforeAutospacing="1" w:after="100" w:afterAutospacing="1"/>
              <w:jc w:val="both"/>
              <w:rPr>
                <w:rFonts w:ascii="Times New Roman" w:hAnsi="Times New Roman" w:cs="Times New Roman"/>
                <w:sz w:val="20"/>
                <w:szCs w:val="20"/>
              </w:rPr>
            </w:pPr>
            <w:r w:rsidRPr="004768AC">
              <w:rPr>
                <w:rFonts w:ascii="Times New Roman" w:hAnsi="Times New Roman" w:cs="Times New Roman"/>
                <w:sz w:val="20"/>
                <w:szCs w:val="20"/>
              </w:rPr>
              <w:t>Predmjer i predračun radova</w:t>
            </w:r>
          </w:p>
        </w:tc>
        <w:tc>
          <w:tcPr>
            <w:tcW w:w="4125" w:type="dxa"/>
          </w:tcPr>
          <w:p w14:paraId="2733C260" w14:textId="77777777" w:rsidR="004768AC" w:rsidRPr="004768AC" w:rsidRDefault="004768AC" w:rsidP="00F73741">
            <w:pPr>
              <w:pStyle w:val="Default"/>
              <w:spacing w:before="100" w:beforeAutospacing="1" w:after="100" w:afterAutospacing="1"/>
              <w:jc w:val="both"/>
              <w:rPr>
                <w:rFonts w:ascii="Times New Roman" w:hAnsi="Times New Roman" w:cs="Times New Roman"/>
                <w:sz w:val="20"/>
                <w:szCs w:val="20"/>
              </w:rPr>
            </w:pPr>
            <w:r w:rsidRPr="004768AC">
              <w:rPr>
                <w:rFonts w:ascii="Times New Roman" w:hAnsi="Times New Roman" w:cs="Times New Roman"/>
                <w:sz w:val="20"/>
                <w:szCs w:val="20"/>
              </w:rPr>
              <w:t>Tehnički opis</w:t>
            </w:r>
          </w:p>
        </w:tc>
      </w:tr>
      <w:tr w:rsidR="004768AC" w:rsidRPr="004768AC" w14:paraId="368865C6" w14:textId="77777777" w:rsidTr="004768AC">
        <w:trPr>
          <w:trHeight w:val="2634"/>
        </w:trPr>
        <w:tc>
          <w:tcPr>
            <w:tcW w:w="4168" w:type="dxa"/>
          </w:tcPr>
          <w:p w14:paraId="3734C5CC" w14:textId="77777777" w:rsidR="004768AC" w:rsidRPr="004768AC" w:rsidRDefault="004768AC" w:rsidP="004768AC">
            <w:pPr>
              <w:pStyle w:val="Default"/>
              <w:numPr>
                <w:ilvl w:val="0"/>
                <w:numId w:val="11"/>
              </w:numPr>
              <w:spacing w:before="100" w:beforeAutospacing="1" w:after="100" w:afterAutospacing="1"/>
              <w:rPr>
                <w:rFonts w:ascii="Times New Roman" w:hAnsi="Times New Roman" w:cs="Times New Roman"/>
                <w:sz w:val="20"/>
                <w:szCs w:val="20"/>
              </w:rPr>
            </w:pPr>
            <w:r w:rsidRPr="004768AC">
              <w:rPr>
                <w:rFonts w:ascii="Times New Roman" w:hAnsi="Times New Roman" w:cs="Times New Roman"/>
                <w:sz w:val="20"/>
                <w:szCs w:val="20"/>
              </w:rPr>
              <w:t>ugradnja izolacionog materijala  (npr.EPS) d=10cm,</w:t>
            </w:r>
          </w:p>
          <w:p w14:paraId="7E94ECC3" w14:textId="77777777" w:rsidR="004768AC" w:rsidRPr="004768AC" w:rsidRDefault="004768AC" w:rsidP="004768AC">
            <w:pPr>
              <w:pStyle w:val="Default"/>
              <w:numPr>
                <w:ilvl w:val="0"/>
                <w:numId w:val="11"/>
              </w:numPr>
              <w:spacing w:before="100" w:beforeAutospacing="1" w:after="100" w:afterAutospacing="1"/>
              <w:rPr>
                <w:rFonts w:ascii="Times New Roman" w:hAnsi="Times New Roman" w:cs="Times New Roman"/>
                <w:sz w:val="20"/>
                <w:szCs w:val="20"/>
              </w:rPr>
            </w:pPr>
            <w:r w:rsidRPr="004768AC">
              <w:rPr>
                <w:rFonts w:ascii="Times New Roman" w:hAnsi="Times New Roman" w:cs="Times New Roman"/>
                <w:sz w:val="20"/>
                <w:szCs w:val="20"/>
              </w:rPr>
              <w:t>ugradnja negorivog termoizolacionog materijala (npr.kamene vune) u međuprozorskom prostoru,</w:t>
            </w:r>
          </w:p>
          <w:p w14:paraId="324BE3E2" w14:textId="77777777" w:rsidR="004768AC" w:rsidRPr="004768AC" w:rsidRDefault="004768AC" w:rsidP="004768AC">
            <w:pPr>
              <w:pStyle w:val="Default"/>
              <w:numPr>
                <w:ilvl w:val="0"/>
                <w:numId w:val="11"/>
              </w:numPr>
              <w:spacing w:before="100" w:beforeAutospacing="1" w:after="100" w:afterAutospacing="1"/>
              <w:rPr>
                <w:rFonts w:ascii="Times New Roman" w:hAnsi="Times New Roman" w:cs="Times New Roman"/>
                <w:sz w:val="20"/>
                <w:szCs w:val="20"/>
              </w:rPr>
            </w:pPr>
            <w:r w:rsidRPr="004768AC">
              <w:rPr>
                <w:rFonts w:ascii="Times New Roman" w:hAnsi="Times New Roman" w:cs="Times New Roman"/>
                <w:sz w:val="20"/>
                <w:szCs w:val="20"/>
              </w:rPr>
              <w:t>obrada klupica, limenih opšava, vertikalnih oluka,</w:t>
            </w:r>
          </w:p>
          <w:p w14:paraId="2472366F" w14:textId="77777777" w:rsidR="004768AC" w:rsidRPr="004768AC" w:rsidRDefault="004768AC" w:rsidP="004768AC">
            <w:pPr>
              <w:pStyle w:val="Default"/>
              <w:numPr>
                <w:ilvl w:val="0"/>
                <w:numId w:val="11"/>
              </w:numPr>
              <w:spacing w:before="100" w:beforeAutospacing="1" w:after="100" w:afterAutospacing="1"/>
              <w:rPr>
                <w:rFonts w:ascii="Times New Roman" w:hAnsi="Times New Roman" w:cs="Times New Roman"/>
                <w:sz w:val="20"/>
                <w:szCs w:val="20"/>
              </w:rPr>
            </w:pPr>
            <w:r w:rsidRPr="004768AC">
              <w:rPr>
                <w:rFonts w:ascii="Times New Roman" w:hAnsi="Times New Roman" w:cs="Times New Roman"/>
                <w:sz w:val="20"/>
                <w:szCs w:val="20"/>
              </w:rPr>
              <w:t>demontaža i ponovna montaža klima, čeličnih nosača za štrik, reklamni panoi, gromobrani i sl.,</w:t>
            </w:r>
          </w:p>
          <w:p w14:paraId="4C9F184A" w14:textId="77777777" w:rsidR="004768AC" w:rsidRPr="004768AC" w:rsidRDefault="004768AC" w:rsidP="004768AC">
            <w:pPr>
              <w:pStyle w:val="Default"/>
              <w:numPr>
                <w:ilvl w:val="0"/>
                <w:numId w:val="11"/>
              </w:numPr>
              <w:spacing w:before="100" w:beforeAutospacing="1" w:after="100" w:afterAutospacing="1"/>
              <w:rPr>
                <w:rFonts w:ascii="Times New Roman" w:hAnsi="Times New Roman" w:cs="Times New Roman"/>
                <w:sz w:val="20"/>
                <w:szCs w:val="20"/>
              </w:rPr>
            </w:pPr>
            <w:r w:rsidRPr="004768AC">
              <w:rPr>
                <w:rFonts w:ascii="Times New Roman" w:hAnsi="Times New Roman" w:cs="Times New Roman"/>
                <w:sz w:val="20"/>
                <w:szCs w:val="20"/>
              </w:rPr>
              <w:t>izolacija balkona debljinom 5cm.</w:t>
            </w:r>
          </w:p>
        </w:tc>
        <w:tc>
          <w:tcPr>
            <w:tcW w:w="4125" w:type="dxa"/>
          </w:tcPr>
          <w:p w14:paraId="0E73B22B" w14:textId="77777777" w:rsidR="004768AC" w:rsidRPr="004768AC" w:rsidRDefault="004768AC" w:rsidP="004768AC">
            <w:pPr>
              <w:pStyle w:val="Default"/>
              <w:numPr>
                <w:ilvl w:val="0"/>
                <w:numId w:val="11"/>
              </w:numPr>
              <w:spacing w:before="100" w:beforeAutospacing="1" w:after="100" w:afterAutospacing="1"/>
              <w:jc w:val="both"/>
              <w:rPr>
                <w:rFonts w:ascii="Times New Roman" w:hAnsi="Times New Roman" w:cs="Times New Roman"/>
                <w:sz w:val="20"/>
                <w:szCs w:val="20"/>
              </w:rPr>
            </w:pPr>
            <w:r w:rsidRPr="004768AC">
              <w:rPr>
                <w:rFonts w:ascii="Times New Roman" w:hAnsi="Times New Roman" w:cs="Times New Roman"/>
                <w:sz w:val="20"/>
                <w:szCs w:val="20"/>
              </w:rPr>
              <w:t>opis objekta,</w:t>
            </w:r>
          </w:p>
          <w:p w14:paraId="0786C296" w14:textId="77777777" w:rsidR="004768AC" w:rsidRPr="004768AC" w:rsidRDefault="004768AC" w:rsidP="004768AC">
            <w:pPr>
              <w:pStyle w:val="Default"/>
              <w:numPr>
                <w:ilvl w:val="0"/>
                <w:numId w:val="11"/>
              </w:numPr>
              <w:spacing w:before="100" w:beforeAutospacing="1" w:after="100" w:afterAutospacing="1"/>
              <w:jc w:val="both"/>
              <w:rPr>
                <w:rFonts w:ascii="Times New Roman" w:hAnsi="Times New Roman" w:cs="Times New Roman"/>
                <w:sz w:val="20"/>
                <w:szCs w:val="20"/>
              </w:rPr>
            </w:pPr>
            <w:r w:rsidRPr="004768AC">
              <w:rPr>
                <w:rFonts w:ascii="Times New Roman" w:hAnsi="Times New Roman" w:cs="Times New Roman"/>
                <w:sz w:val="20"/>
                <w:szCs w:val="20"/>
              </w:rPr>
              <w:t>lokacija i zona,</w:t>
            </w:r>
          </w:p>
          <w:p w14:paraId="57E3B95A" w14:textId="77777777" w:rsidR="004768AC" w:rsidRPr="004768AC" w:rsidRDefault="004768AC" w:rsidP="004768AC">
            <w:pPr>
              <w:pStyle w:val="Default"/>
              <w:numPr>
                <w:ilvl w:val="0"/>
                <w:numId w:val="11"/>
              </w:numPr>
              <w:spacing w:before="100" w:beforeAutospacing="1" w:after="100" w:afterAutospacing="1"/>
              <w:jc w:val="both"/>
              <w:rPr>
                <w:rFonts w:ascii="Times New Roman" w:hAnsi="Times New Roman" w:cs="Times New Roman"/>
                <w:sz w:val="20"/>
                <w:szCs w:val="20"/>
              </w:rPr>
            </w:pPr>
            <w:r w:rsidRPr="004768AC">
              <w:rPr>
                <w:rFonts w:ascii="Times New Roman" w:hAnsi="Times New Roman" w:cs="Times New Roman"/>
                <w:sz w:val="20"/>
                <w:szCs w:val="20"/>
              </w:rPr>
              <w:t>dimenzije i spratnost objekta,</w:t>
            </w:r>
          </w:p>
          <w:p w14:paraId="564A88C3" w14:textId="77777777" w:rsidR="004768AC" w:rsidRPr="004768AC" w:rsidRDefault="004768AC" w:rsidP="004768AC">
            <w:pPr>
              <w:pStyle w:val="Default"/>
              <w:numPr>
                <w:ilvl w:val="0"/>
                <w:numId w:val="11"/>
              </w:numPr>
              <w:spacing w:before="100" w:beforeAutospacing="1" w:after="100" w:afterAutospacing="1"/>
              <w:jc w:val="both"/>
              <w:rPr>
                <w:rFonts w:ascii="Times New Roman" w:hAnsi="Times New Roman" w:cs="Times New Roman"/>
                <w:sz w:val="20"/>
                <w:szCs w:val="20"/>
              </w:rPr>
            </w:pPr>
            <w:r w:rsidRPr="004768AC">
              <w:rPr>
                <w:rFonts w:ascii="Times New Roman" w:hAnsi="Times New Roman" w:cs="Times New Roman"/>
                <w:sz w:val="20"/>
                <w:szCs w:val="20"/>
              </w:rPr>
              <w:t>bruto površina fasadnog omotača,</w:t>
            </w:r>
          </w:p>
          <w:p w14:paraId="046D7D3B" w14:textId="77777777" w:rsidR="004768AC" w:rsidRPr="004768AC" w:rsidRDefault="004768AC" w:rsidP="004768AC">
            <w:pPr>
              <w:pStyle w:val="Default"/>
              <w:numPr>
                <w:ilvl w:val="0"/>
                <w:numId w:val="11"/>
              </w:numPr>
              <w:spacing w:before="100" w:beforeAutospacing="1" w:after="100" w:afterAutospacing="1"/>
              <w:jc w:val="both"/>
              <w:rPr>
                <w:rFonts w:ascii="Times New Roman" w:hAnsi="Times New Roman" w:cs="Times New Roman"/>
                <w:sz w:val="20"/>
                <w:szCs w:val="20"/>
              </w:rPr>
            </w:pPr>
            <w:r w:rsidRPr="004768AC">
              <w:rPr>
                <w:rFonts w:ascii="Times New Roman" w:hAnsi="Times New Roman" w:cs="Times New Roman"/>
                <w:sz w:val="20"/>
                <w:szCs w:val="20"/>
              </w:rPr>
              <w:t>stanje krova i krovnog pokrivača,</w:t>
            </w:r>
          </w:p>
          <w:p w14:paraId="7769F27C" w14:textId="77777777" w:rsidR="004768AC" w:rsidRPr="004768AC" w:rsidRDefault="004768AC" w:rsidP="004768AC">
            <w:pPr>
              <w:pStyle w:val="Default"/>
              <w:numPr>
                <w:ilvl w:val="0"/>
                <w:numId w:val="11"/>
              </w:numPr>
              <w:spacing w:before="100" w:beforeAutospacing="1" w:after="100" w:afterAutospacing="1"/>
              <w:jc w:val="both"/>
              <w:rPr>
                <w:rFonts w:ascii="Times New Roman" w:hAnsi="Times New Roman" w:cs="Times New Roman"/>
                <w:sz w:val="20"/>
                <w:szCs w:val="20"/>
              </w:rPr>
            </w:pPr>
            <w:r w:rsidRPr="004768AC">
              <w:rPr>
                <w:rFonts w:ascii="Times New Roman" w:hAnsi="Times New Roman" w:cs="Times New Roman"/>
                <w:sz w:val="20"/>
                <w:szCs w:val="20"/>
              </w:rPr>
              <w:t>broj stanova.</w:t>
            </w:r>
          </w:p>
        </w:tc>
      </w:tr>
    </w:tbl>
    <w:p w14:paraId="45D2C3DD" w14:textId="77777777" w:rsidR="004768AC" w:rsidRDefault="004768AC" w:rsidP="004768AC">
      <w:pPr>
        <w:pStyle w:val="ListParagraph"/>
        <w:numPr>
          <w:ilvl w:val="0"/>
          <w:numId w:val="14"/>
        </w:numPr>
        <w:tabs>
          <w:tab w:val="left" w:pos="709"/>
        </w:tabs>
        <w:spacing w:before="40" w:after="100" w:afterAutospacing="1" w:line="240" w:lineRule="auto"/>
        <w:ind w:left="1134"/>
        <w:jc w:val="both"/>
        <w:rPr>
          <w:rFonts w:ascii="Times New Roman" w:eastAsia="Times New Roman" w:hAnsi="Times New Roman"/>
          <w:iCs/>
          <w:color w:val="000000"/>
        </w:rPr>
      </w:pPr>
      <w:r w:rsidRPr="004768AC">
        <w:rPr>
          <w:rFonts w:ascii="Times New Roman" w:eastAsia="Times New Roman" w:hAnsi="Times New Roman"/>
          <w:iCs/>
          <w:color w:val="000000"/>
        </w:rPr>
        <w:t>Za stambene objekte spratnosti P+1 do P+3, negorivi termoizolacioni materijal (npr. kamena mineralna vuna) ugrađuje se po potrebi kao horizontalni protivpožarni pojas, dok se ostale površine fasade izvode drugim termoizolacionim materijalom (npr. EPS).</w:t>
      </w:r>
    </w:p>
    <w:p w14:paraId="1E033990" w14:textId="77777777" w:rsidR="004768AC" w:rsidRPr="004768AC" w:rsidRDefault="004768AC" w:rsidP="004768AC">
      <w:pPr>
        <w:pStyle w:val="ListParagraph"/>
        <w:tabs>
          <w:tab w:val="left" w:pos="709"/>
        </w:tabs>
        <w:spacing w:before="40" w:after="100" w:afterAutospacing="1" w:line="240" w:lineRule="auto"/>
        <w:ind w:left="1134"/>
        <w:jc w:val="both"/>
        <w:rPr>
          <w:rFonts w:ascii="Times New Roman" w:eastAsia="Times New Roman" w:hAnsi="Times New Roman"/>
          <w:iCs/>
          <w:color w:val="000000"/>
        </w:rPr>
      </w:pPr>
    </w:p>
    <w:p w14:paraId="53C0FC02" w14:textId="6080BCAB" w:rsidR="004768AC" w:rsidRPr="004768AC" w:rsidRDefault="004768AC" w:rsidP="004768AC">
      <w:pPr>
        <w:pStyle w:val="ListParagraph"/>
        <w:numPr>
          <w:ilvl w:val="0"/>
          <w:numId w:val="12"/>
        </w:numPr>
        <w:tabs>
          <w:tab w:val="left" w:pos="709"/>
        </w:tabs>
        <w:spacing w:before="40" w:after="100" w:afterAutospacing="1" w:line="240" w:lineRule="auto"/>
        <w:ind w:left="1134"/>
        <w:jc w:val="both"/>
        <w:rPr>
          <w:rFonts w:ascii="Times New Roman" w:eastAsia="Times New Roman" w:hAnsi="Times New Roman"/>
          <w:iCs/>
          <w:color w:val="000000"/>
        </w:rPr>
      </w:pPr>
      <w:r w:rsidRPr="004768AC">
        <w:rPr>
          <w:rFonts w:ascii="Times New Roman" w:eastAsia="Times New Roman" w:hAnsi="Times New Roman"/>
          <w:iCs/>
          <w:color w:val="000000"/>
        </w:rPr>
        <w:t>Za stambene objekte spratnosti P+4 i više, ugrađuju se negorive termoizolacione trake (npr.kamena mineralna vuna) kao kontinuirani horizontalni protivpožarni pojas u međuprozorskom pojasu, odnosno u zoni između gornje ivice prozora jednog sprata i donje ivice prozora narednog, po cijeloj dužini fasade, dok se preostale površine izvode drugim termoizolacionim materijalom (npr. EPS). Raspored pojaseva izvodi se u skladu sa spratnošću objekta i važećim protivpožarnim propisima.</w:t>
      </w:r>
    </w:p>
    <w:p w14:paraId="18BFA9C7" w14:textId="63050C98" w:rsidR="004768AC" w:rsidRPr="004768AC" w:rsidRDefault="004768AC" w:rsidP="004768AC">
      <w:pPr>
        <w:tabs>
          <w:tab w:val="left" w:pos="709"/>
        </w:tabs>
        <w:spacing w:before="40" w:after="100" w:afterAutospacing="1" w:line="240" w:lineRule="auto"/>
        <w:ind w:left="709"/>
        <w:jc w:val="both"/>
        <w:rPr>
          <w:rFonts w:ascii="Times New Roman" w:eastAsia="Times New Roman" w:hAnsi="Times New Roman"/>
          <w:iCs/>
          <w:color w:val="000000"/>
        </w:rPr>
      </w:pPr>
      <w:r w:rsidRPr="004768AC">
        <w:rPr>
          <w:rFonts w:ascii="Times New Roman" w:hAnsi="Times New Roman"/>
        </w:rPr>
        <w:t>Dozvoljena su i druga tehnička rješenja fasadnog sistema, pod uslovom da ispunjavaju zahtjeve zaštite od požara, energetske efikasnosti i važećih tehničkih propisa. Izvođač je dužan dostaviti tehničku dokumentaciju ugrađenog sistema, uključujući dokaz o usklađenosti sa zahtjevima zaštite od požara (klasifikacija reakcije na požar) i ostalim važećim standardima.</w:t>
      </w:r>
    </w:p>
    <w:p w14:paraId="0349CCC4" w14:textId="77777777" w:rsidR="000C66B5" w:rsidRPr="004768AC" w:rsidRDefault="000C66B5" w:rsidP="004768AC">
      <w:pPr>
        <w:shd w:val="clear" w:color="auto" w:fill="FFFFFF"/>
        <w:spacing w:after="0" w:line="240" w:lineRule="auto"/>
        <w:ind w:left="709"/>
        <w:contextualSpacing/>
        <w:jc w:val="both"/>
        <w:rPr>
          <w:rFonts w:ascii="Times New Roman" w:eastAsia="Times New Roman" w:hAnsi="Times New Roman" w:cs="Times New Roman"/>
          <w:color w:val="000000"/>
          <w:kern w:val="0"/>
          <w14:ligatures w14:val="none"/>
        </w:rPr>
      </w:pPr>
      <w:r w:rsidRPr="004768AC">
        <w:rPr>
          <w:rFonts w:ascii="Times New Roman" w:eastAsia="Times New Roman" w:hAnsi="Times New Roman" w:cs="Times New Roman"/>
          <w:b/>
          <w:color w:val="000000"/>
          <w:kern w:val="0"/>
          <w14:ligatures w14:val="none"/>
        </w:rPr>
        <w:t>PREPORUKA:</w:t>
      </w:r>
      <w:r w:rsidRPr="004768AC">
        <w:rPr>
          <w:rFonts w:ascii="Times New Roman" w:eastAsia="Times New Roman" w:hAnsi="Times New Roman" w:cs="Times New Roman"/>
          <w:color w:val="000000"/>
          <w:kern w:val="0"/>
          <w14:ligatures w14:val="none"/>
        </w:rPr>
        <w:t xml:space="preserve"> </w:t>
      </w:r>
      <w:r w:rsidRPr="004768AC">
        <w:rPr>
          <w:rFonts w:ascii="Times New Roman" w:eastAsia="Times New Roman" w:hAnsi="Times New Roman" w:cs="Times New Roman"/>
          <w:b/>
          <w:bCs/>
          <w:color w:val="000000"/>
          <w:kern w:val="0"/>
          <w14:ligatures w14:val="none"/>
        </w:rPr>
        <w:t>U cilju postizanja bolje cijene i kvaliteta pristiglih ponuda, Odborima etažnih vlasnika savjetujemo da prikupe najmanje 3 ponude.</w:t>
      </w:r>
      <w:r w:rsidRPr="004768AC">
        <w:rPr>
          <w:rFonts w:ascii="Times New Roman" w:eastAsia="Times New Roman" w:hAnsi="Times New Roman" w:cs="Times New Roman"/>
          <w:color w:val="000000"/>
          <w:kern w:val="0"/>
          <w14:ligatures w14:val="none"/>
        </w:rPr>
        <w:t xml:space="preserve"> </w:t>
      </w:r>
    </w:p>
    <w:p w14:paraId="70658FC8" w14:textId="77777777" w:rsidR="000C66B5" w:rsidRPr="004768AC" w:rsidRDefault="000C66B5" w:rsidP="000C66B5">
      <w:pPr>
        <w:spacing w:before="40" w:after="100" w:afterAutospacing="1" w:line="240" w:lineRule="auto"/>
        <w:ind w:left="-284"/>
        <w:jc w:val="both"/>
        <w:rPr>
          <w:rFonts w:ascii="Times New Roman" w:eastAsia="Times New Roman" w:hAnsi="Times New Roman"/>
          <w:iCs/>
          <w:color w:val="000000"/>
        </w:rPr>
      </w:pPr>
    </w:p>
    <w:p w14:paraId="6EF2706C" w14:textId="121F834D" w:rsidR="000E3506" w:rsidRPr="004768AC" w:rsidRDefault="000E3506" w:rsidP="000C66B5">
      <w:pPr>
        <w:pStyle w:val="ListParagraph"/>
        <w:numPr>
          <w:ilvl w:val="0"/>
          <w:numId w:val="6"/>
        </w:numPr>
        <w:shd w:val="clear" w:color="auto" w:fill="FFFFFF"/>
        <w:tabs>
          <w:tab w:val="left" w:pos="709"/>
        </w:tabs>
        <w:spacing w:after="0" w:line="240" w:lineRule="auto"/>
        <w:ind w:left="709"/>
        <w:jc w:val="both"/>
        <w:rPr>
          <w:rFonts w:ascii="Times New Roman" w:eastAsia="Times New Roman" w:hAnsi="Times New Roman" w:cs="Times New Roman"/>
          <w:color w:val="000000"/>
          <w:kern w:val="0"/>
          <w14:ligatures w14:val="none"/>
        </w:rPr>
      </w:pPr>
      <w:r w:rsidRPr="004768AC">
        <w:rPr>
          <w:rFonts w:ascii="Times New Roman" w:eastAsia="Times New Roman" w:hAnsi="Times New Roman" w:cs="Times New Roman"/>
          <w:b/>
          <w:bCs/>
          <w:color w:val="000000"/>
          <w:kern w:val="0"/>
          <w14:ligatures w14:val="none"/>
        </w:rPr>
        <w:t>Dostavljanje</w:t>
      </w:r>
      <w:r w:rsidRPr="004768AC">
        <w:rPr>
          <w:rFonts w:ascii="Times New Roman" w:eastAsia="Times New Roman" w:hAnsi="Times New Roman" w:cs="Times New Roman"/>
          <w:color w:val="000000"/>
          <w:kern w:val="0"/>
          <w14:ligatures w14:val="none"/>
        </w:rPr>
        <w:t xml:space="preserve"> </w:t>
      </w:r>
      <w:r w:rsidRPr="004768AC">
        <w:rPr>
          <w:rFonts w:ascii="Times New Roman" w:eastAsia="Times New Roman" w:hAnsi="Times New Roman" w:cs="Times New Roman"/>
          <w:b/>
          <w:bCs/>
          <w:color w:val="000000"/>
          <w:kern w:val="0"/>
          <w14:ligatures w14:val="none"/>
        </w:rPr>
        <w:t>fotografija u boji:</w:t>
      </w:r>
    </w:p>
    <w:p w14:paraId="65CFC236" w14:textId="77777777" w:rsidR="000E3506" w:rsidRPr="004768AC" w:rsidRDefault="000E3506" w:rsidP="000C66B5">
      <w:pPr>
        <w:shd w:val="clear" w:color="auto" w:fill="FFFFFF"/>
        <w:tabs>
          <w:tab w:val="left" w:pos="709"/>
        </w:tabs>
        <w:spacing w:after="0" w:line="240" w:lineRule="auto"/>
        <w:ind w:left="709"/>
        <w:contextualSpacing/>
        <w:jc w:val="both"/>
        <w:rPr>
          <w:rFonts w:ascii="Times New Roman" w:eastAsia="Times New Roman" w:hAnsi="Times New Roman" w:cs="Times New Roman"/>
          <w:color w:val="000000"/>
          <w:kern w:val="0"/>
          <w14:ligatures w14:val="none"/>
        </w:rPr>
      </w:pPr>
      <w:r w:rsidRPr="004768AC">
        <w:rPr>
          <w:rFonts w:ascii="Times New Roman" w:eastAsia="Calibri" w:hAnsi="Times New Roman" w:cs="Times New Roman"/>
          <w:kern w:val="0"/>
          <w14:ligatures w14:val="none"/>
        </w:rPr>
        <w:t>LOT 1 – fotografije sa 4 strane objekta</w:t>
      </w:r>
    </w:p>
    <w:p w14:paraId="6E5A8FDE" w14:textId="77777777" w:rsidR="000E3506" w:rsidRPr="004768AC" w:rsidRDefault="000E3506" w:rsidP="000C66B5">
      <w:pPr>
        <w:shd w:val="clear" w:color="auto" w:fill="FFFFFF"/>
        <w:tabs>
          <w:tab w:val="left" w:pos="709"/>
        </w:tabs>
        <w:spacing w:after="0" w:line="240" w:lineRule="auto"/>
        <w:ind w:left="709"/>
        <w:contextualSpacing/>
        <w:jc w:val="both"/>
        <w:rPr>
          <w:rFonts w:ascii="Times New Roman" w:eastAsia="Times New Roman" w:hAnsi="Times New Roman" w:cs="Times New Roman"/>
          <w:color w:val="000000"/>
          <w:kern w:val="0"/>
          <w14:ligatures w14:val="none"/>
        </w:rPr>
      </w:pPr>
      <w:r w:rsidRPr="004768AC">
        <w:rPr>
          <w:rFonts w:ascii="Times New Roman" w:eastAsia="Calibri" w:hAnsi="Times New Roman" w:cs="Times New Roman"/>
          <w:kern w:val="0"/>
          <w14:ligatures w14:val="none"/>
        </w:rPr>
        <w:t>LOT 2 – fotografije sa 4 strane objekta + fotografije krova</w:t>
      </w:r>
    </w:p>
    <w:p w14:paraId="234E3A53" w14:textId="77777777" w:rsidR="000E3506" w:rsidRPr="004768AC" w:rsidRDefault="000E3506" w:rsidP="000C66B5">
      <w:pPr>
        <w:shd w:val="clear" w:color="auto" w:fill="FFFFFF"/>
        <w:tabs>
          <w:tab w:val="left" w:pos="709"/>
        </w:tabs>
        <w:spacing w:after="0" w:line="240" w:lineRule="auto"/>
        <w:ind w:left="709"/>
        <w:contextualSpacing/>
        <w:jc w:val="both"/>
        <w:rPr>
          <w:rFonts w:ascii="Times New Roman" w:eastAsia="Times New Roman" w:hAnsi="Times New Roman" w:cs="Times New Roman"/>
          <w:color w:val="000000"/>
          <w:kern w:val="0"/>
          <w14:ligatures w14:val="none"/>
        </w:rPr>
      </w:pPr>
      <w:r w:rsidRPr="004768AC">
        <w:rPr>
          <w:rFonts w:ascii="Times New Roman" w:eastAsia="Calibri" w:hAnsi="Times New Roman" w:cs="Times New Roman"/>
          <w:kern w:val="0"/>
          <w14:ligatures w14:val="none"/>
        </w:rPr>
        <w:t>LOT 3 – fotografije sa 4 strane objekta + fotografije krova</w:t>
      </w:r>
    </w:p>
    <w:p w14:paraId="0B20539A" w14:textId="77777777" w:rsidR="000E3506" w:rsidRPr="004768AC" w:rsidRDefault="000E3506" w:rsidP="000C66B5">
      <w:pPr>
        <w:shd w:val="clear" w:color="auto" w:fill="FFFFFF"/>
        <w:tabs>
          <w:tab w:val="left" w:pos="709"/>
        </w:tabs>
        <w:spacing w:after="0" w:line="240" w:lineRule="auto"/>
        <w:ind w:left="709"/>
        <w:contextualSpacing/>
        <w:jc w:val="both"/>
        <w:rPr>
          <w:rFonts w:ascii="Times New Roman" w:eastAsia="Times New Roman" w:hAnsi="Times New Roman" w:cs="Times New Roman"/>
          <w:color w:val="000000"/>
          <w:kern w:val="0"/>
          <w14:ligatures w14:val="none"/>
        </w:rPr>
      </w:pPr>
      <w:r w:rsidRPr="004768AC">
        <w:rPr>
          <w:rFonts w:ascii="Times New Roman" w:eastAsia="Calibri" w:hAnsi="Times New Roman" w:cs="Times New Roman"/>
          <w:kern w:val="0"/>
          <w14:ligatures w14:val="none"/>
        </w:rPr>
        <w:t>LOT 1 i LOT 2 – fotografije sa 4 strane objekta + fotografije krova</w:t>
      </w:r>
    </w:p>
    <w:p w14:paraId="7233FF6D" w14:textId="77777777" w:rsidR="000E3506" w:rsidRPr="004768AC" w:rsidRDefault="000E3506" w:rsidP="000C66B5">
      <w:pPr>
        <w:shd w:val="clear" w:color="auto" w:fill="FFFFFF"/>
        <w:tabs>
          <w:tab w:val="left" w:pos="709"/>
        </w:tabs>
        <w:spacing w:after="0" w:line="240" w:lineRule="auto"/>
        <w:ind w:left="709"/>
        <w:contextualSpacing/>
        <w:jc w:val="both"/>
        <w:rPr>
          <w:rFonts w:ascii="Times New Roman" w:eastAsia="Times New Roman" w:hAnsi="Times New Roman" w:cs="Times New Roman"/>
          <w:color w:val="000000"/>
          <w:kern w:val="0"/>
          <w14:ligatures w14:val="none"/>
        </w:rPr>
      </w:pPr>
      <w:r w:rsidRPr="004768AC">
        <w:rPr>
          <w:rFonts w:ascii="Times New Roman" w:eastAsia="Calibri" w:hAnsi="Times New Roman" w:cs="Times New Roman"/>
          <w:kern w:val="0"/>
          <w14:ligatures w14:val="none"/>
        </w:rPr>
        <w:t>LOT 1 i LOT 3 – fotografije sa 4 strane objekta + fotografije krova</w:t>
      </w:r>
    </w:p>
    <w:p w14:paraId="520DDED3" w14:textId="65FA080C" w:rsidR="00976464" w:rsidRPr="000C66B5" w:rsidRDefault="00976464" w:rsidP="000912A1">
      <w:pPr>
        <w:jc w:val="both"/>
        <w:rPr>
          <w:rFonts w:ascii="Times New Roman" w:hAnsi="Times New Roman" w:cs="Times New Roman"/>
        </w:rPr>
      </w:pPr>
    </w:p>
    <w:sectPr w:rsidR="00976464" w:rsidRPr="000C66B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E06CA"/>
    <w:multiLevelType w:val="hybridMultilevel"/>
    <w:tmpl w:val="62A8264A"/>
    <w:lvl w:ilvl="0" w:tplc="08090001">
      <w:start w:val="1"/>
      <w:numFmt w:val="bullet"/>
      <w:lvlText w:val=""/>
      <w:lvlJc w:val="left"/>
      <w:pPr>
        <w:ind w:left="921" w:hanging="360"/>
      </w:pPr>
      <w:rPr>
        <w:rFonts w:ascii="Symbol" w:hAnsi="Symbol" w:hint="default"/>
      </w:rPr>
    </w:lvl>
    <w:lvl w:ilvl="1" w:tplc="08090003" w:tentative="1">
      <w:start w:val="1"/>
      <w:numFmt w:val="bullet"/>
      <w:lvlText w:val="o"/>
      <w:lvlJc w:val="left"/>
      <w:pPr>
        <w:ind w:left="1641" w:hanging="360"/>
      </w:pPr>
      <w:rPr>
        <w:rFonts w:ascii="Courier New" w:hAnsi="Courier New" w:cs="Courier New" w:hint="default"/>
      </w:rPr>
    </w:lvl>
    <w:lvl w:ilvl="2" w:tplc="08090005" w:tentative="1">
      <w:start w:val="1"/>
      <w:numFmt w:val="bullet"/>
      <w:lvlText w:val=""/>
      <w:lvlJc w:val="left"/>
      <w:pPr>
        <w:ind w:left="2361" w:hanging="360"/>
      </w:pPr>
      <w:rPr>
        <w:rFonts w:ascii="Wingdings" w:hAnsi="Wingdings" w:hint="default"/>
      </w:rPr>
    </w:lvl>
    <w:lvl w:ilvl="3" w:tplc="08090001" w:tentative="1">
      <w:start w:val="1"/>
      <w:numFmt w:val="bullet"/>
      <w:lvlText w:val=""/>
      <w:lvlJc w:val="left"/>
      <w:pPr>
        <w:ind w:left="3081" w:hanging="360"/>
      </w:pPr>
      <w:rPr>
        <w:rFonts w:ascii="Symbol" w:hAnsi="Symbol" w:hint="default"/>
      </w:rPr>
    </w:lvl>
    <w:lvl w:ilvl="4" w:tplc="08090003" w:tentative="1">
      <w:start w:val="1"/>
      <w:numFmt w:val="bullet"/>
      <w:lvlText w:val="o"/>
      <w:lvlJc w:val="left"/>
      <w:pPr>
        <w:ind w:left="3801" w:hanging="360"/>
      </w:pPr>
      <w:rPr>
        <w:rFonts w:ascii="Courier New" w:hAnsi="Courier New" w:cs="Courier New" w:hint="default"/>
      </w:rPr>
    </w:lvl>
    <w:lvl w:ilvl="5" w:tplc="08090005" w:tentative="1">
      <w:start w:val="1"/>
      <w:numFmt w:val="bullet"/>
      <w:lvlText w:val=""/>
      <w:lvlJc w:val="left"/>
      <w:pPr>
        <w:ind w:left="4521" w:hanging="360"/>
      </w:pPr>
      <w:rPr>
        <w:rFonts w:ascii="Wingdings" w:hAnsi="Wingdings" w:hint="default"/>
      </w:rPr>
    </w:lvl>
    <w:lvl w:ilvl="6" w:tplc="08090001" w:tentative="1">
      <w:start w:val="1"/>
      <w:numFmt w:val="bullet"/>
      <w:lvlText w:val=""/>
      <w:lvlJc w:val="left"/>
      <w:pPr>
        <w:ind w:left="5241" w:hanging="360"/>
      </w:pPr>
      <w:rPr>
        <w:rFonts w:ascii="Symbol" w:hAnsi="Symbol" w:hint="default"/>
      </w:rPr>
    </w:lvl>
    <w:lvl w:ilvl="7" w:tplc="08090003" w:tentative="1">
      <w:start w:val="1"/>
      <w:numFmt w:val="bullet"/>
      <w:lvlText w:val="o"/>
      <w:lvlJc w:val="left"/>
      <w:pPr>
        <w:ind w:left="5961" w:hanging="360"/>
      </w:pPr>
      <w:rPr>
        <w:rFonts w:ascii="Courier New" w:hAnsi="Courier New" w:cs="Courier New" w:hint="default"/>
      </w:rPr>
    </w:lvl>
    <w:lvl w:ilvl="8" w:tplc="08090005" w:tentative="1">
      <w:start w:val="1"/>
      <w:numFmt w:val="bullet"/>
      <w:lvlText w:val=""/>
      <w:lvlJc w:val="left"/>
      <w:pPr>
        <w:ind w:left="6681" w:hanging="360"/>
      </w:pPr>
      <w:rPr>
        <w:rFonts w:ascii="Wingdings" w:hAnsi="Wingdings" w:hint="default"/>
      </w:rPr>
    </w:lvl>
  </w:abstractNum>
  <w:abstractNum w:abstractNumId="1" w15:restartNumberingAfterBreak="0">
    <w:nsid w:val="06FE6BE0"/>
    <w:multiLevelType w:val="hybridMultilevel"/>
    <w:tmpl w:val="75ACBF06"/>
    <w:lvl w:ilvl="0" w:tplc="F5CEA3A8">
      <w:start w:val="3"/>
      <w:numFmt w:val="bullet"/>
      <w:lvlText w:val="-"/>
      <w:lvlJc w:val="left"/>
      <w:pPr>
        <w:ind w:left="720" w:hanging="360"/>
      </w:pPr>
      <w:rPr>
        <w:rFonts w:ascii="Aptos" w:eastAsiaTheme="minorHAnsi" w:hAnsi="Aptos" w:cstheme="minorBidi"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CA135A"/>
    <w:multiLevelType w:val="hybridMultilevel"/>
    <w:tmpl w:val="C1660A50"/>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 w15:restartNumberingAfterBreak="0">
    <w:nsid w:val="0D080C3B"/>
    <w:multiLevelType w:val="hybridMultilevel"/>
    <w:tmpl w:val="D386353E"/>
    <w:lvl w:ilvl="0" w:tplc="9864BB24">
      <w:start w:val="1"/>
      <w:numFmt w:val="bullet"/>
      <w:lvlText w:val="-"/>
      <w:lvlJc w:val="left"/>
      <w:pPr>
        <w:ind w:left="720" w:hanging="360"/>
      </w:pPr>
      <w:rPr>
        <w:rFonts w:ascii="Cambria" w:eastAsia="Calibri" w:hAnsi="Cambri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9794745"/>
    <w:multiLevelType w:val="hybridMultilevel"/>
    <w:tmpl w:val="6524AF3E"/>
    <w:lvl w:ilvl="0" w:tplc="08090017">
      <w:start w:val="1"/>
      <w:numFmt w:val="lowerLetter"/>
      <w:lvlText w:val="%1)"/>
      <w:lvlJc w:val="left"/>
      <w:pPr>
        <w:ind w:left="502" w:hanging="360"/>
      </w:pPr>
      <w:rPr>
        <w:rFonts w:hint="default"/>
        <w:b/>
        <w:bCs/>
      </w:rPr>
    </w:lvl>
    <w:lvl w:ilvl="1" w:tplc="08090019" w:tentative="1">
      <w:start w:val="1"/>
      <w:numFmt w:val="lowerLetter"/>
      <w:lvlText w:val="%2."/>
      <w:lvlJc w:val="left"/>
      <w:pPr>
        <w:ind w:left="1658" w:hanging="360"/>
      </w:pPr>
    </w:lvl>
    <w:lvl w:ilvl="2" w:tplc="0809001B" w:tentative="1">
      <w:start w:val="1"/>
      <w:numFmt w:val="lowerRoman"/>
      <w:lvlText w:val="%3."/>
      <w:lvlJc w:val="right"/>
      <w:pPr>
        <w:ind w:left="2378" w:hanging="180"/>
      </w:pPr>
    </w:lvl>
    <w:lvl w:ilvl="3" w:tplc="0809000F" w:tentative="1">
      <w:start w:val="1"/>
      <w:numFmt w:val="decimal"/>
      <w:lvlText w:val="%4."/>
      <w:lvlJc w:val="left"/>
      <w:pPr>
        <w:ind w:left="3098" w:hanging="360"/>
      </w:pPr>
    </w:lvl>
    <w:lvl w:ilvl="4" w:tplc="08090019" w:tentative="1">
      <w:start w:val="1"/>
      <w:numFmt w:val="lowerLetter"/>
      <w:lvlText w:val="%5."/>
      <w:lvlJc w:val="left"/>
      <w:pPr>
        <w:ind w:left="3818" w:hanging="360"/>
      </w:pPr>
    </w:lvl>
    <w:lvl w:ilvl="5" w:tplc="0809001B" w:tentative="1">
      <w:start w:val="1"/>
      <w:numFmt w:val="lowerRoman"/>
      <w:lvlText w:val="%6."/>
      <w:lvlJc w:val="right"/>
      <w:pPr>
        <w:ind w:left="4538" w:hanging="180"/>
      </w:pPr>
    </w:lvl>
    <w:lvl w:ilvl="6" w:tplc="0809000F" w:tentative="1">
      <w:start w:val="1"/>
      <w:numFmt w:val="decimal"/>
      <w:lvlText w:val="%7."/>
      <w:lvlJc w:val="left"/>
      <w:pPr>
        <w:ind w:left="5258" w:hanging="360"/>
      </w:pPr>
    </w:lvl>
    <w:lvl w:ilvl="7" w:tplc="08090019" w:tentative="1">
      <w:start w:val="1"/>
      <w:numFmt w:val="lowerLetter"/>
      <w:lvlText w:val="%8."/>
      <w:lvlJc w:val="left"/>
      <w:pPr>
        <w:ind w:left="5978" w:hanging="360"/>
      </w:pPr>
    </w:lvl>
    <w:lvl w:ilvl="8" w:tplc="0809001B" w:tentative="1">
      <w:start w:val="1"/>
      <w:numFmt w:val="lowerRoman"/>
      <w:lvlText w:val="%9."/>
      <w:lvlJc w:val="right"/>
      <w:pPr>
        <w:ind w:left="6698" w:hanging="180"/>
      </w:pPr>
    </w:lvl>
  </w:abstractNum>
  <w:abstractNum w:abstractNumId="5" w15:restartNumberingAfterBreak="0">
    <w:nsid w:val="2ECC7E46"/>
    <w:multiLevelType w:val="hybridMultilevel"/>
    <w:tmpl w:val="F06AAE56"/>
    <w:lvl w:ilvl="0" w:tplc="08090001">
      <w:start w:val="1"/>
      <w:numFmt w:val="bullet"/>
      <w:lvlText w:val=""/>
      <w:lvlJc w:val="left"/>
      <w:pPr>
        <w:ind w:left="720" w:hanging="360"/>
      </w:pPr>
      <w:rPr>
        <w:rFonts w:ascii="Symbol" w:hAnsi="Symbo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52A4727"/>
    <w:multiLevelType w:val="hybridMultilevel"/>
    <w:tmpl w:val="A104BA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65" w:hanging="360"/>
      </w:pPr>
      <w:rPr>
        <w:rFonts w:ascii="Courier New" w:hAnsi="Courier New" w:cs="Courier New" w:hint="default"/>
      </w:rPr>
    </w:lvl>
    <w:lvl w:ilvl="2" w:tplc="08090005" w:tentative="1">
      <w:start w:val="1"/>
      <w:numFmt w:val="bullet"/>
      <w:lvlText w:val=""/>
      <w:lvlJc w:val="left"/>
      <w:pPr>
        <w:ind w:left="885" w:hanging="360"/>
      </w:pPr>
      <w:rPr>
        <w:rFonts w:ascii="Wingdings" w:hAnsi="Wingdings" w:hint="default"/>
      </w:rPr>
    </w:lvl>
    <w:lvl w:ilvl="3" w:tplc="08090001" w:tentative="1">
      <w:start w:val="1"/>
      <w:numFmt w:val="bullet"/>
      <w:lvlText w:val=""/>
      <w:lvlJc w:val="left"/>
      <w:pPr>
        <w:ind w:left="1605" w:hanging="360"/>
      </w:pPr>
      <w:rPr>
        <w:rFonts w:ascii="Symbol" w:hAnsi="Symbol" w:hint="default"/>
      </w:rPr>
    </w:lvl>
    <w:lvl w:ilvl="4" w:tplc="08090003" w:tentative="1">
      <w:start w:val="1"/>
      <w:numFmt w:val="bullet"/>
      <w:lvlText w:val="o"/>
      <w:lvlJc w:val="left"/>
      <w:pPr>
        <w:ind w:left="2325" w:hanging="360"/>
      </w:pPr>
      <w:rPr>
        <w:rFonts w:ascii="Courier New" w:hAnsi="Courier New" w:cs="Courier New" w:hint="default"/>
      </w:rPr>
    </w:lvl>
    <w:lvl w:ilvl="5" w:tplc="08090005" w:tentative="1">
      <w:start w:val="1"/>
      <w:numFmt w:val="bullet"/>
      <w:lvlText w:val=""/>
      <w:lvlJc w:val="left"/>
      <w:pPr>
        <w:ind w:left="3045" w:hanging="360"/>
      </w:pPr>
      <w:rPr>
        <w:rFonts w:ascii="Wingdings" w:hAnsi="Wingdings" w:hint="default"/>
      </w:rPr>
    </w:lvl>
    <w:lvl w:ilvl="6" w:tplc="08090001" w:tentative="1">
      <w:start w:val="1"/>
      <w:numFmt w:val="bullet"/>
      <w:lvlText w:val=""/>
      <w:lvlJc w:val="left"/>
      <w:pPr>
        <w:ind w:left="3765" w:hanging="360"/>
      </w:pPr>
      <w:rPr>
        <w:rFonts w:ascii="Symbol" w:hAnsi="Symbol" w:hint="default"/>
      </w:rPr>
    </w:lvl>
    <w:lvl w:ilvl="7" w:tplc="08090003" w:tentative="1">
      <w:start w:val="1"/>
      <w:numFmt w:val="bullet"/>
      <w:lvlText w:val="o"/>
      <w:lvlJc w:val="left"/>
      <w:pPr>
        <w:ind w:left="4485" w:hanging="360"/>
      </w:pPr>
      <w:rPr>
        <w:rFonts w:ascii="Courier New" w:hAnsi="Courier New" w:cs="Courier New" w:hint="default"/>
      </w:rPr>
    </w:lvl>
    <w:lvl w:ilvl="8" w:tplc="08090005" w:tentative="1">
      <w:start w:val="1"/>
      <w:numFmt w:val="bullet"/>
      <w:lvlText w:val=""/>
      <w:lvlJc w:val="left"/>
      <w:pPr>
        <w:ind w:left="5205" w:hanging="360"/>
      </w:pPr>
      <w:rPr>
        <w:rFonts w:ascii="Wingdings" w:hAnsi="Wingdings" w:hint="default"/>
      </w:rPr>
    </w:lvl>
  </w:abstractNum>
  <w:abstractNum w:abstractNumId="7" w15:restartNumberingAfterBreak="0">
    <w:nsid w:val="51C37A56"/>
    <w:multiLevelType w:val="hybridMultilevel"/>
    <w:tmpl w:val="18F48BA0"/>
    <w:lvl w:ilvl="0" w:tplc="08090001">
      <w:start w:val="1"/>
      <w:numFmt w:val="bullet"/>
      <w:lvlText w:val=""/>
      <w:lvlJc w:val="left"/>
      <w:pPr>
        <w:ind w:left="2149" w:hanging="360"/>
      </w:pPr>
      <w:rPr>
        <w:rFonts w:ascii="Symbol" w:hAnsi="Symbol" w:hint="default"/>
      </w:rPr>
    </w:lvl>
    <w:lvl w:ilvl="1" w:tplc="08090003" w:tentative="1">
      <w:start w:val="1"/>
      <w:numFmt w:val="bullet"/>
      <w:lvlText w:val="o"/>
      <w:lvlJc w:val="left"/>
      <w:pPr>
        <w:ind w:left="2869" w:hanging="360"/>
      </w:pPr>
      <w:rPr>
        <w:rFonts w:ascii="Courier New" w:hAnsi="Courier New" w:cs="Courier New" w:hint="default"/>
      </w:rPr>
    </w:lvl>
    <w:lvl w:ilvl="2" w:tplc="08090005" w:tentative="1">
      <w:start w:val="1"/>
      <w:numFmt w:val="bullet"/>
      <w:lvlText w:val=""/>
      <w:lvlJc w:val="left"/>
      <w:pPr>
        <w:ind w:left="3589" w:hanging="360"/>
      </w:pPr>
      <w:rPr>
        <w:rFonts w:ascii="Wingdings" w:hAnsi="Wingdings" w:hint="default"/>
      </w:rPr>
    </w:lvl>
    <w:lvl w:ilvl="3" w:tplc="08090001" w:tentative="1">
      <w:start w:val="1"/>
      <w:numFmt w:val="bullet"/>
      <w:lvlText w:val=""/>
      <w:lvlJc w:val="left"/>
      <w:pPr>
        <w:ind w:left="4309" w:hanging="360"/>
      </w:pPr>
      <w:rPr>
        <w:rFonts w:ascii="Symbol" w:hAnsi="Symbol" w:hint="default"/>
      </w:rPr>
    </w:lvl>
    <w:lvl w:ilvl="4" w:tplc="08090003" w:tentative="1">
      <w:start w:val="1"/>
      <w:numFmt w:val="bullet"/>
      <w:lvlText w:val="o"/>
      <w:lvlJc w:val="left"/>
      <w:pPr>
        <w:ind w:left="5029" w:hanging="360"/>
      </w:pPr>
      <w:rPr>
        <w:rFonts w:ascii="Courier New" w:hAnsi="Courier New" w:cs="Courier New" w:hint="default"/>
      </w:rPr>
    </w:lvl>
    <w:lvl w:ilvl="5" w:tplc="08090005" w:tentative="1">
      <w:start w:val="1"/>
      <w:numFmt w:val="bullet"/>
      <w:lvlText w:val=""/>
      <w:lvlJc w:val="left"/>
      <w:pPr>
        <w:ind w:left="5749" w:hanging="360"/>
      </w:pPr>
      <w:rPr>
        <w:rFonts w:ascii="Wingdings" w:hAnsi="Wingdings" w:hint="default"/>
      </w:rPr>
    </w:lvl>
    <w:lvl w:ilvl="6" w:tplc="08090001" w:tentative="1">
      <w:start w:val="1"/>
      <w:numFmt w:val="bullet"/>
      <w:lvlText w:val=""/>
      <w:lvlJc w:val="left"/>
      <w:pPr>
        <w:ind w:left="6469" w:hanging="360"/>
      </w:pPr>
      <w:rPr>
        <w:rFonts w:ascii="Symbol" w:hAnsi="Symbol" w:hint="default"/>
      </w:rPr>
    </w:lvl>
    <w:lvl w:ilvl="7" w:tplc="08090003" w:tentative="1">
      <w:start w:val="1"/>
      <w:numFmt w:val="bullet"/>
      <w:lvlText w:val="o"/>
      <w:lvlJc w:val="left"/>
      <w:pPr>
        <w:ind w:left="7189" w:hanging="360"/>
      </w:pPr>
      <w:rPr>
        <w:rFonts w:ascii="Courier New" w:hAnsi="Courier New" w:cs="Courier New" w:hint="default"/>
      </w:rPr>
    </w:lvl>
    <w:lvl w:ilvl="8" w:tplc="08090005" w:tentative="1">
      <w:start w:val="1"/>
      <w:numFmt w:val="bullet"/>
      <w:lvlText w:val=""/>
      <w:lvlJc w:val="left"/>
      <w:pPr>
        <w:ind w:left="7909" w:hanging="360"/>
      </w:pPr>
      <w:rPr>
        <w:rFonts w:ascii="Wingdings" w:hAnsi="Wingdings" w:hint="default"/>
      </w:rPr>
    </w:lvl>
  </w:abstractNum>
  <w:abstractNum w:abstractNumId="8" w15:restartNumberingAfterBreak="0">
    <w:nsid w:val="528213ED"/>
    <w:multiLevelType w:val="multilevel"/>
    <w:tmpl w:val="9A2E576C"/>
    <w:lvl w:ilvl="0">
      <w:start w:val="1"/>
      <w:numFmt w:val="bullet"/>
      <w:lvlText w:val=""/>
      <w:lvlJc w:val="left"/>
      <w:pPr>
        <w:tabs>
          <w:tab w:val="num" w:pos="720"/>
        </w:tabs>
        <w:ind w:left="720" w:hanging="360"/>
      </w:pPr>
      <w:rPr>
        <w:rFonts w:ascii="Symbol" w:hAnsi="Symbol" w:hint="default"/>
        <w:color w:val="FFFFFF" w:themeColor="background1"/>
        <w:sz w:val="20"/>
      </w:rPr>
    </w:lvl>
    <w:lvl w:ilvl="1">
      <w:numFmt w:val="bullet"/>
      <w:lvlText w:val="-"/>
      <w:lvlJc w:val="left"/>
      <w:pPr>
        <w:ind w:left="1440" w:hanging="360"/>
      </w:pPr>
      <w:rPr>
        <w:rFonts w:ascii="Times New Roman" w:eastAsia="Times New Roman" w:hAnsi="Times New Roman" w:cs="Times New Roman"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A66355B"/>
    <w:multiLevelType w:val="hybridMultilevel"/>
    <w:tmpl w:val="43A69A8C"/>
    <w:lvl w:ilvl="0" w:tplc="141A000F">
      <w:start w:val="1"/>
      <w:numFmt w:val="decimal"/>
      <w:lvlText w:val="%1."/>
      <w:lvlJc w:val="left"/>
      <w:pPr>
        <w:ind w:left="720" w:hanging="360"/>
      </w:p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0" w15:restartNumberingAfterBreak="0">
    <w:nsid w:val="65262C5A"/>
    <w:multiLevelType w:val="hybridMultilevel"/>
    <w:tmpl w:val="38A0CBB4"/>
    <w:lvl w:ilvl="0" w:tplc="08090001">
      <w:start w:val="1"/>
      <w:numFmt w:val="bullet"/>
      <w:lvlText w:val=""/>
      <w:lvlJc w:val="left"/>
      <w:pPr>
        <w:ind w:left="720" w:hanging="360"/>
      </w:pPr>
      <w:rPr>
        <w:rFonts w:ascii="Symbol" w:hAnsi="Symbo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E20127B"/>
    <w:multiLevelType w:val="hybridMultilevel"/>
    <w:tmpl w:val="41C0C20E"/>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2" w15:restartNumberingAfterBreak="0">
    <w:nsid w:val="76001E16"/>
    <w:multiLevelType w:val="hybridMultilevel"/>
    <w:tmpl w:val="6B4CD8C6"/>
    <w:lvl w:ilvl="0" w:tplc="08090001">
      <w:start w:val="1"/>
      <w:numFmt w:val="bullet"/>
      <w:lvlText w:val=""/>
      <w:lvlJc w:val="left"/>
      <w:pPr>
        <w:ind w:left="720" w:hanging="360"/>
      </w:pPr>
      <w:rPr>
        <w:rFonts w:ascii="Symbol" w:hAnsi="Symbo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F9E2673"/>
    <w:multiLevelType w:val="hybridMultilevel"/>
    <w:tmpl w:val="9DC63110"/>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num w:numId="1" w16cid:durableId="1962683894">
    <w:abstractNumId w:val="10"/>
  </w:num>
  <w:num w:numId="2" w16cid:durableId="207841182">
    <w:abstractNumId w:val="12"/>
  </w:num>
  <w:num w:numId="3" w16cid:durableId="754396784">
    <w:abstractNumId w:val="5"/>
  </w:num>
  <w:num w:numId="4" w16cid:durableId="2138378297">
    <w:abstractNumId w:val="8"/>
  </w:num>
  <w:num w:numId="5" w16cid:durableId="1737245987">
    <w:abstractNumId w:val="1"/>
  </w:num>
  <w:num w:numId="6" w16cid:durableId="185144289">
    <w:abstractNumId w:val="4"/>
  </w:num>
  <w:num w:numId="7" w16cid:durableId="1301879846">
    <w:abstractNumId w:val="0"/>
  </w:num>
  <w:num w:numId="8" w16cid:durableId="1062486630">
    <w:abstractNumId w:val="6"/>
  </w:num>
  <w:num w:numId="9" w16cid:durableId="485896765">
    <w:abstractNumId w:val="2"/>
  </w:num>
  <w:num w:numId="10" w16cid:durableId="1545945986">
    <w:abstractNumId w:val="9"/>
  </w:num>
  <w:num w:numId="11" w16cid:durableId="274874184">
    <w:abstractNumId w:val="3"/>
  </w:num>
  <w:num w:numId="12" w16cid:durableId="2029405484">
    <w:abstractNumId w:val="11"/>
  </w:num>
  <w:num w:numId="13" w16cid:durableId="1931959531">
    <w:abstractNumId w:val="13"/>
  </w:num>
  <w:num w:numId="14" w16cid:durableId="54082048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270D"/>
    <w:rsid w:val="000912A1"/>
    <w:rsid w:val="000C4CAF"/>
    <w:rsid w:val="000C66B5"/>
    <w:rsid w:val="000E3506"/>
    <w:rsid w:val="001067FB"/>
    <w:rsid w:val="0013128C"/>
    <w:rsid w:val="002027EC"/>
    <w:rsid w:val="002D68C7"/>
    <w:rsid w:val="002F55AF"/>
    <w:rsid w:val="003211BC"/>
    <w:rsid w:val="0034720B"/>
    <w:rsid w:val="003E7A0C"/>
    <w:rsid w:val="00412338"/>
    <w:rsid w:val="00432039"/>
    <w:rsid w:val="00470ADF"/>
    <w:rsid w:val="004768AC"/>
    <w:rsid w:val="00577693"/>
    <w:rsid w:val="0073459C"/>
    <w:rsid w:val="00825B93"/>
    <w:rsid w:val="00836620"/>
    <w:rsid w:val="00842EB8"/>
    <w:rsid w:val="008B1022"/>
    <w:rsid w:val="009143F0"/>
    <w:rsid w:val="00976464"/>
    <w:rsid w:val="00993784"/>
    <w:rsid w:val="00A45C20"/>
    <w:rsid w:val="00A54D95"/>
    <w:rsid w:val="00A82128"/>
    <w:rsid w:val="00AF597F"/>
    <w:rsid w:val="00B55268"/>
    <w:rsid w:val="00CE524F"/>
    <w:rsid w:val="00D5164A"/>
    <w:rsid w:val="00D86717"/>
    <w:rsid w:val="00D87C62"/>
    <w:rsid w:val="00E048A6"/>
    <w:rsid w:val="00F83923"/>
    <w:rsid w:val="00FB27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E44872"/>
  <w15:chartTrackingRefBased/>
  <w15:docId w15:val="{7484037E-08E2-4732-B63C-B1D94C0B8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bs-Latn-BA"/>
    </w:rPr>
  </w:style>
  <w:style w:type="paragraph" w:styleId="Heading1">
    <w:name w:val="heading 1"/>
    <w:basedOn w:val="Normal"/>
    <w:next w:val="Normal"/>
    <w:link w:val="Heading1Char"/>
    <w:uiPriority w:val="9"/>
    <w:qFormat/>
    <w:rsid w:val="00FB270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B270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B270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B270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B270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B270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B270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B270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B270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270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B270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B270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B270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B270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B270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B270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B270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B270D"/>
    <w:rPr>
      <w:rFonts w:eastAsiaTheme="majorEastAsia" w:cstheme="majorBidi"/>
      <w:color w:val="272727" w:themeColor="text1" w:themeTint="D8"/>
    </w:rPr>
  </w:style>
  <w:style w:type="paragraph" w:styleId="Title">
    <w:name w:val="Title"/>
    <w:basedOn w:val="Normal"/>
    <w:next w:val="Normal"/>
    <w:link w:val="TitleChar"/>
    <w:uiPriority w:val="10"/>
    <w:qFormat/>
    <w:rsid w:val="00FB27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B270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B270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B270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B270D"/>
    <w:pPr>
      <w:spacing w:before="160"/>
      <w:jc w:val="center"/>
    </w:pPr>
    <w:rPr>
      <w:i/>
      <w:iCs/>
      <w:color w:val="404040" w:themeColor="text1" w:themeTint="BF"/>
    </w:rPr>
  </w:style>
  <w:style w:type="character" w:customStyle="1" w:styleId="QuoteChar">
    <w:name w:val="Quote Char"/>
    <w:basedOn w:val="DefaultParagraphFont"/>
    <w:link w:val="Quote"/>
    <w:uiPriority w:val="29"/>
    <w:rsid w:val="00FB270D"/>
    <w:rPr>
      <w:i/>
      <w:iCs/>
      <w:color w:val="404040" w:themeColor="text1" w:themeTint="BF"/>
    </w:rPr>
  </w:style>
  <w:style w:type="paragraph" w:styleId="ListParagraph">
    <w:name w:val="List Paragraph"/>
    <w:basedOn w:val="Normal"/>
    <w:uiPriority w:val="34"/>
    <w:qFormat/>
    <w:rsid w:val="00FB270D"/>
    <w:pPr>
      <w:ind w:left="720"/>
      <w:contextualSpacing/>
    </w:pPr>
  </w:style>
  <w:style w:type="character" w:styleId="IntenseEmphasis">
    <w:name w:val="Intense Emphasis"/>
    <w:basedOn w:val="DefaultParagraphFont"/>
    <w:uiPriority w:val="21"/>
    <w:qFormat/>
    <w:rsid w:val="00FB270D"/>
    <w:rPr>
      <w:i/>
      <w:iCs/>
      <w:color w:val="0F4761" w:themeColor="accent1" w:themeShade="BF"/>
    </w:rPr>
  </w:style>
  <w:style w:type="paragraph" w:styleId="IntenseQuote">
    <w:name w:val="Intense Quote"/>
    <w:basedOn w:val="Normal"/>
    <w:next w:val="Normal"/>
    <w:link w:val="IntenseQuoteChar"/>
    <w:uiPriority w:val="30"/>
    <w:qFormat/>
    <w:rsid w:val="00FB27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B270D"/>
    <w:rPr>
      <w:i/>
      <w:iCs/>
      <w:color w:val="0F4761" w:themeColor="accent1" w:themeShade="BF"/>
    </w:rPr>
  </w:style>
  <w:style w:type="character" w:styleId="IntenseReference">
    <w:name w:val="Intense Reference"/>
    <w:basedOn w:val="DefaultParagraphFont"/>
    <w:uiPriority w:val="32"/>
    <w:qFormat/>
    <w:rsid w:val="00FB270D"/>
    <w:rPr>
      <w:b/>
      <w:bCs/>
      <w:smallCaps/>
      <w:color w:val="0F4761" w:themeColor="accent1" w:themeShade="BF"/>
      <w:spacing w:val="5"/>
    </w:rPr>
  </w:style>
  <w:style w:type="table" w:customStyle="1" w:styleId="TableGrid1">
    <w:name w:val="Table Grid1"/>
    <w:basedOn w:val="TableNormal"/>
    <w:next w:val="TableGrid"/>
    <w:uiPriority w:val="59"/>
    <w:rsid w:val="00A45C20"/>
    <w:pPr>
      <w:spacing w:after="0" w:line="240" w:lineRule="auto"/>
    </w:pPr>
    <w:rPr>
      <w:kern w:val="0"/>
      <w:lang w:val="hr-H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A45C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C66B5"/>
    <w:pPr>
      <w:autoSpaceDE w:val="0"/>
      <w:autoSpaceDN w:val="0"/>
      <w:adjustRightInd w:val="0"/>
      <w:spacing w:after="0" w:line="240" w:lineRule="auto"/>
    </w:pPr>
    <w:rPr>
      <w:rFonts w:ascii="Verdana" w:eastAsia="Calibri" w:hAnsi="Verdana" w:cs="Verdana"/>
      <w:color w:val="000000"/>
      <w:kern w:val="0"/>
      <w:sz w:val="24"/>
      <w:szCs w:val="24"/>
      <w:lang w:val="bs-Latn-B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378</TotalTime>
  <Pages>4</Pages>
  <Words>1555</Words>
  <Characters>8864</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Dejan Božić</dc:creator>
  <cp:keywords/>
  <dc:description/>
  <cp:lastModifiedBy>Office6 GradZenica</cp:lastModifiedBy>
  <cp:revision>16</cp:revision>
  <cp:lastPrinted>2026-04-28T10:31:00Z</cp:lastPrinted>
  <dcterms:created xsi:type="dcterms:W3CDTF">2026-04-20T09:04:00Z</dcterms:created>
  <dcterms:modified xsi:type="dcterms:W3CDTF">2026-04-28T10:37:00Z</dcterms:modified>
</cp:coreProperties>
</file>